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09998" w14:textId="191E9938" w:rsidR="00D83559" w:rsidRPr="004560F5" w:rsidRDefault="00D83559" w:rsidP="00D83559">
      <w:pPr>
        <w:tabs>
          <w:tab w:val="left" w:pos="1985"/>
        </w:tabs>
        <w:jc w:val="both"/>
        <w:rPr>
          <w:rFonts w:ascii="Arial" w:hAnsi="Arial" w:cs="Arial"/>
          <w:b/>
          <w:sz w:val="24"/>
        </w:rPr>
      </w:pPr>
      <w:r>
        <w:rPr>
          <w:rFonts w:ascii="Arial" w:hAnsi="Arial" w:cs="Arial"/>
          <w:b/>
          <w:sz w:val="24"/>
        </w:rPr>
        <w:t>3GPP TSG RAN WG1 Meeting #98</w:t>
      </w:r>
      <w:r w:rsidRPr="004560F5">
        <w:rPr>
          <w:rFonts w:ascii="Arial" w:hAnsi="Arial" w:cs="Arial"/>
          <w:b/>
          <w:sz w:val="24"/>
        </w:rPr>
        <w:tab/>
      </w:r>
      <w:r w:rsidRPr="004560F5">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8D69B0" w:rsidRPr="008D69B0">
        <w:rPr>
          <w:rFonts w:ascii="Arial" w:hAnsi="Arial" w:cs="Arial"/>
          <w:b/>
          <w:sz w:val="24"/>
        </w:rPr>
        <w:t>R1-1908617</w:t>
      </w:r>
    </w:p>
    <w:p w14:paraId="11012534" w14:textId="77777777" w:rsidR="00D83559" w:rsidRDefault="00D83559" w:rsidP="00D83559">
      <w:pPr>
        <w:tabs>
          <w:tab w:val="left" w:pos="1985"/>
        </w:tabs>
        <w:jc w:val="both"/>
        <w:rPr>
          <w:rFonts w:ascii="Arial" w:hAnsi="Arial" w:cs="Arial"/>
          <w:b/>
          <w:sz w:val="24"/>
        </w:rPr>
      </w:pPr>
      <w:r>
        <w:rPr>
          <w:rFonts w:ascii="Arial" w:hAnsi="Arial" w:cs="Arial"/>
          <w:b/>
          <w:sz w:val="24"/>
        </w:rPr>
        <w:t>Prague</w:t>
      </w:r>
      <w:r w:rsidRPr="00C906BF">
        <w:rPr>
          <w:rFonts w:ascii="Arial" w:hAnsi="Arial" w:cs="Arial"/>
          <w:b/>
          <w:sz w:val="24"/>
        </w:rPr>
        <w:t xml:space="preserve">, </w:t>
      </w:r>
      <w:r>
        <w:rPr>
          <w:rFonts w:ascii="Arial" w:hAnsi="Arial" w:cs="Arial"/>
          <w:b/>
          <w:sz w:val="24"/>
        </w:rPr>
        <w:t>Czech</w:t>
      </w:r>
      <w:r w:rsidRPr="00C906BF">
        <w:rPr>
          <w:rFonts w:ascii="Arial" w:hAnsi="Arial" w:cs="Arial"/>
          <w:b/>
          <w:sz w:val="24"/>
        </w:rPr>
        <w:t xml:space="preserve">, </w:t>
      </w:r>
      <w:r>
        <w:rPr>
          <w:rFonts w:ascii="Arial" w:hAnsi="Arial" w:cs="Arial"/>
          <w:b/>
          <w:sz w:val="24"/>
        </w:rPr>
        <w:t>August</w:t>
      </w:r>
      <w:r w:rsidRPr="00C906BF">
        <w:rPr>
          <w:rFonts w:ascii="Arial" w:hAnsi="Arial" w:cs="Arial"/>
          <w:b/>
          <w:sz w:val="24"/>
        </w:rPr>
        <w:t xml:space="preserve"> </w:t>
      </w:r>
      <w:r>
        <w:rPr>
          <w:rFonts w:ascii="Arial" w:hAnsi="Arial" w:cs="Arial"/>
          <w:b/>
          <w:sz w:val="24"/>
        </w:rPr>
        <w:t>26</w:t>
      </w:r>
      <w:r w:rsidRPr="00C906BF">
        <w:rPr>
          <w:rFonts w:ascii="Arial" w:hAnsi="Arial" w:cs="Arial"/>
          <w:b/>
          <w:sz w:val="24"/>
        </w:rPr>
        <w:t xml:space="preserve">th – </w:t>
      </w:r>
      <w:r>
        <w:rPr>
          <w:rFonts w:ascii="Arial" w:hAnsi="Arial" w:cs="Arial"/>
          <w:b/>
          <w:sz w:val="24"/>
        </w:rPr>
        <w:t>30</w:t>
      </w:r>
      <w:r w:rsidRPr="00C906BF">
        <w:rPr>
          <w:rFonts w:ascii="Arial" w:hAnsi="Arial" w:cs="Arial"/>
          <w:b/>
          <w:sz w:val="24"/>
        </w:rPr>
        <w:t>th, 2019</w:t>
      </w:r>
    </w:p>
    <w:p w14:paraId="21CB2452" w14:textId="77777777" w:rsidR="00F42FA1" w:rsidRPr="004560F5" w:rsidRDefault="00F42FA1" w:rsidP="00F42FA1">
      <w:pPr>
        <w:tabs>
          <w:tab w:val="left" w:pos="1985"/>
        </w:tabs>
        <w:jc w:val="both"/>
        <w:rPr>
          <w:rFonts w:ascii="Arial" w:hAnsi="Arial" w:cs="Arial"/>
          <w:b/>
          <w:sz w:val="24"/>
        </w:rPr>
      </w:pPr>
    </w:p>
    <w:p w14:paraId="78E51EEE" w14:textId="77777777" w:rsidR="00E12640" w:rsidRPr="00E95DAE" w:rsidRDefault="00E12640" w:rsidP="00E12640">
      <w:pPr>
        <w:tabs>
          <w:tab w:val="left" w:pos="1985"/>
        </w:tabs>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t xml:space="preserve">Intel Corporation </w:t>
      </w:r>
    </w:p>
    <w:p w14:paraId="08E07EAF" w14:textId="49CEEE53" w:rsidR="00E12640" w:rsidRDefault="00E12640" w:rsidP="00E12640">
      <w:pPr>
        <w:ind w:left="1983" w:hangingChars="823" w:hanging="1983"/>
        <w:jc w:val="both"/>
        <w:rPr>
          <w:rFonts w:ascii="Arial" w:eastAsia="Malgun Gothic" w:hAnsi="Arial" w:cs="Arial"/>
          <w:b/>
          <w:sz w:val="24"/>
          <w:lang w:eastAsia="ko-KR"/>
        </w:rPr>
      </w:pPr>
      <w:r w:rsidRPr="001A628F">
        <w:rPr>
          <w:rFonts w:ascii="Arial" w:hAnsi="Arial" w:cs="Arial"/>
          <w:b/>
          <w:sz w:val="24"/>
        </w:rPr>
        <w:t>Title:</w:t>
      </w:r>
      <w:r w:rsidRPr="006E3689">
        <w:rPr>
          <w:rFonts w:ascii="Arial" w:eastAsia="Malgun Gothic" w:hAnsi="Arial" w:cs="Arial" w:hint="eastAsia"/>
          <w:b/>
          <w:sz w:val="24"/>
          <w:lang w:eastAsia="ko-KR"/>
        </w:rPr>
        <w:tab/>
      </w:r>
      <w:r w:rsidR="00C074B7" w:rsidRPr="00C074B7">
        <w:rPr>
          <w:rFonts w:ascii="Arial" w:eastAsia="Malgun Gothic" w:hAnsi="Arial" w:cs="Arial"/>
          <w:b/>
          <w:sz w:val="24"/>
          <w:lang w:eastAsia="ko-KR"/>
        </w:rPr>
        <w:t>Remaining details for additional SRS</w:t>
      </w:r>
    </w:p>
    <w:p w14:paraId="2768BA8B" w14:textId="441E0AD1" w:rsidR="00E12640" w:rsidRPr="0081575D" w:rsidRDefault="00E12640" w:rsidP="00E12640">
      <w:pPr>
        <w:ind w:left="1983" w:hangingChars="823" w:hanging="1983"/>
        <w:jc w:val="both"/>
        <w:rPr>
          <w:rFonts w:ascii="Arial" w:hAnsi="Arial" w:cs="Arial"/>
          <w:sz w:val="24"/>
          <w:lang w:eastAsia="zh-CN"/>
        </w:rPr>
      </w:pPr>
      <w:r w:rsidRPr="0081575D">
        <w:rPr>
          <w:rFonts w:ascii="Arial" w:hAnsi="Arial" w:cs="Arial"/>
          <w:b/>
          <w:sz w:val="24"/>
        </w:rPr>
        <w:t>Agenda item:</w:t>
      </w:r>
      <w:r w:rsidRPr="0081575D">
        <w:rPr>
          <w:rFonts w:ascii="Arial" w:hAnsi="Arial" w:cs="Arial"/>
          <w:b/>
          <w:sz w:val="24"/>
        </w:rPr>
        <w:tab/>
      </w:r>
      <w:r w:rsidR="00F42816" w:rsidRPr="00F42816">
        <w:rPr>
          <w:rFonts w:ascii="Arial" w:hAnsi="Arial" w:cs="Arial"/>
          <w:b/>
          <w:sz w:val="24"/>
        </w:rPr>
        <w:t>6.2.3.1.1</w:t>
      </w:r>
    </w:p>
    <w:p w14:paraId="77C93E75" w14:textId="77777777" w:rsidR="00E12640" w:rsidRPr="00E95DAE" w:rsidRDefault="00E12640" w:rsidP="00E12640">
      <w:pPr>
        <w:ind w:left="1988" w:hanging="1988"/>
        <w:jc w:val="both"/>
        <w:rPr>
          <w:rFonts w:ascii="Arial" w:hAnsi="Arial" w:cs="Arial"/>
          <w:sz w:val="24"/>
        </w:rPr>
      </w:pPr>
      <w:r w:rsidRPr="001C6720">
        <w:rPr>
          <w:rFonts w:ascii="Arial" w:hAnsi="Arial" w:cs="Arial"/>
          <w:b/>
          <w:sz w:val="24"/>
        </w:rPr>
        <w:t>Document for:</w:t>
      </w:r>
      <w:r w:rsidRPr="001C6720">
        <w:rPr>
          <w:rFonts w:ascii="Arial" w:hAnsi="Arial" w:cs="Arial"/>
          <w:sz w:val="24"/>
        </w:rPr>
        <w:tab/>
      </w:r>
      <w:r w:rsidRPr="001C6720">
        <w:rPr>
          <w:rFonts w:ascii="Arial" w:hAnsi="Arial" w:cs="Arial"/>
          <w:b/>
          <w:sz w:val="24"/>
        </w:rPr>
        <w:t>Discussion and Decision</w:t>
      </w: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0643BE40" w14:textId="702C0207" w:rsidR="00FD7DD7" w:rsidRDefault="00AC49B9" w:rsidP="00C074B7">
      <w:pPr>
        <w:ind w:firstLine="284"/>
        <w:jc w:val="both"/>
        <w:rPr>
          <w:sz w:val="22"/>
          <w:szCs w:val="22"/>
        </w:rPr>
      </w:pPr>
      <w:r>
        <w:rPr>
          <w:sz w:val="22"/>
          <w:szCs w:val="22"/>
        </w:rPr>
        <w:t xml:space="preserve">In </w:t>
      </w:r>
      <w:r w:rsidR="009B4341">
        <w:rPr>
          <w:sz w:val="22"/>
          <w:szCs w:val="22"/>
        </w:rPr>
        <w:t>RAN</w:t>
      </w:r>
      <w:r w:rsidR="0059178F" w:rsidRPr="0059178F">
        <w:rPr>
          <w:sz w:val="22"/>
          <w:szCs w:val="22"/>
        </w:rPr>
        <w:t>#82</w:t>
      </w:r>
      <w:r w:rsidR="009B4341">
        <w:rPr>
          <w:sz w:val="22"/>
          <w:szCs w:val="22"/>
        </w:rPr>
        <w:t xml:space="preserve"> </w:t>
      </w:r>
      <w:r w:rsidR="00F92814">
        <w:rPr>
          <w:sz w:val="22"/>
          <w:szCs w:val="22"/>
        </w:rPr>
        <w:t>m</w:t>
      </w:r>
      <w:r w:rsidRPr="00500CF5">
        <w:rPr>
          <w:sz w:val="22"/>
          <w:szCs w:val="22"/>
        </w:rPr>
        <w:t xml:space="preserve">eeting </w:t>
      </w:r>
      <w:r w:rsidR="009B4341">
        <w:rPr>
          <w:sz w:val="22"/>
          <w:szCs w:val="22"/>
        </w:rPr>
        <w:t xml:space="preserve">the work item </w:t>
      </w:r>
      <w:r w:rsidR="00B37236">
        <w:rPr>
          <w:sz w:val="22"/>
          <w:szCs w:val="22"/>
        </w:rPr>
        <w:t xml:space="preserve">on </w:t>
      </w:r>
      <w:r w:rsidR="00B37236" w:rsidRPr="00B37236">
        <w:rPr>
          <w:sz w:val="22"/>
          <w:szCs w:val="22"/>
        </w:rPr>
        <w:t xml:space="preserve">DL MIMO efficiency enhancements for LTE </w:t>
      </w:r>
      <w:r w:rsidR="00B37236">
        <w:rPr>
          <w:sz w:val="22"/>
          <w:szCs w:val="22"/>
        </w:rPr>
        <w:t xml:space="preserve">was approved </w:t>
      </w:r>
      <w:r w:rsidR="00646FC0">
        <w:rPr>
          <w:sz w:val="22"/>
          <w:szCs w:val="22"/>
        </w:rPr>
        <w:t>[1]</w:t>
      </w:r>
      <w:r>
        <w:rPr>
          <w:sz w:val="22"/>
          <w:szCs w:val="22"/>
        </w:rPr>
        <w:t>.</w:t>
      </w:r>
      <w:r w:rsidR="00C074B7">
        <w:rPr>
          <w:sz w:val="22"/>
          <w:szCs w:val="22"/>
        </w:rPr>
        <w:t xml:space="preserve"> </w:t>
      </w:r>
      <w:r w:rsidR="00B37236">
        <w:rPr>
          <w:sz w:val="22"/>
          <w:szCs w:val="22"/>
        </w:rPr>
        <w:t xml:space="preserve">According to WID description the performance of DL MIMO should be improved by using additional SRS transmission in the UL subframe. </w:t>
      </w:r>
      <w:r w:rsidR="00F42FA1">
        <w:rPr>
          <w:sz w:val="22"/>
          <w:szCs w:val="22"/>
        </w:rPr>
        <w:t>In t</w:t>
      </w:r>
      <w:r w:rsidR="004F0114">
        <w:rPr>
          <w:sz w:val="22"/>
          <w:szCs w:val="22"/>
        </w:rPr>
        <w:t>his contribution we provide our</w:t>
      </w:r>
      <w:r w:rsidR="00F42FA1">
        <w:rPr>
          <w:sz w:val="22"/>
          <w:szCs w:val="22"/>
        </w:rPr>
        <w:t xml:space="preserve"> view</w:t>
      </w:r>
      <w:r w:rsidR="00C074B7">
        <w:rPr>
          <w:sz w:val="22"/>
          <w:szCs w:val="22"/>
        </w:rPr>
        <w:t>s</w:t>
      </w:r>
      <w:r w:rsidR="00F42FA1">
        <w:rPr>
          <w:sz w:val="22"/>
          <w:szCs w:val="22"/>
        </w:rPr>
        <w:t xml:space="preserve"> on the remaining </w:t>
      </w:r>
      <w:r w:rsidR="00F92814">
        <w:rPr>
          <w:sz w:val="22"/>
          <w:szCs w:val="22"/>
        </w:rPr>
        <w:t>issues</w:t>
      </w:r>
      <w:r w:rsidR="00D83559">
        <w:rPr>
          <w:sz w:val="22"/>
          <w:szCs w:val="22"/>
        </w:rPr>
        <w:t xml:space="preserve"> related to support of the additional SRS symbols</w:t>
      </w:r>
      <w:r w:rsidR="00F42FA1">
        <w:rPr>
          <w:sz w:val="22"/>
          <w:szCs w:val="22"/>
        </w:rPr>
        <w:t>.</w:t>
      </w:r>
    </w:p>
    <w:p w14:paraId="417560CF" w14:textId="139D9EB0" w:rsidR="00715D65" w:rsidRDefault="00715D65" w:rsidP="00715D65">
      <w:pPr>
        <w:pStyle w:val="Heading1"/>
        <w:ind w:left="360" w:hanging="360"/>
      </w:pPr>
      <w:r>
        <w:t xml:space="preserve">2. Guard period </w:t>
      </w:r>
      <w:r w:rsidR="0059178F">
        <w:t>for SRS</w:t>
      </w:r>
    </w:p>
    <w:p w14:paraId="3F6C3523" w14:textId="0735AE37" w:rsidR="00B37236" w:rsidRPr="00B37236" w:rsidRDefault="00B37236" w:rsidP="00B37236">
      <w:pPr>
        <w:rPr>
          <w:sz w:val="22"/>
          <w:szCs w:val="22"/>
          <w:lang w:val="en-GB"/>
        </w:rPr>
      </w:pPr>
      <w:r w:rsidRPr="00B37236">
        <w:rPr>
          <w:sz w:val="22"/>
          <w:szCs w:val="22"/>
          <w:lang w:val="en-GB"/>
        </w:rPr>
        <w:t>In RAN1#97 the following agreement on gua</w:t>
      </w:r>
      <w:r>
        <w:rPr>
          <w:sz w:val="22"/>
          <w:szCs w:val="22"/>
          <w:lang w:val="en-GB"/>
        </w:rPr>
        <w:t>r</w:t>
      </w:r>
      <w:r w:rsidRPr="00B37236">
        <w:rPr>
          <w:sz w:val="22"/>
          <w:szCs w:val="22"/>
          <w:lang w:val="en-GB"/>
        </w:rPr>
        <w:t xml:space="preserve">d period for </w:t>
      </w:r>
      <w:r>
        <w:rPr>
          <w:sz w:val="22"/>
          <w:szCs w:val="22"/>
          <w:lang w:val="en-GB"/>
        </w:rPr>
        <w:t xml:space="preserve">additional </w:t>
      </w:r>
      <w:r w:rsidRPr="00B37236">
        <w:rPr>
          <w:sz w:val="22"/>
          <w:szCs w:val="22"/>
          <w:lang w:val="en-GB"/>
        </w:rPr>
        <w:t xml:space="preserve">SRS </w:t>
      </w:r>
      <w:r w:rsidR="00664EA5">
        <w:rPr>
          <w:sz w:val="22"/>
          <w:szCs w:val="22"/>
          <w:lang w:val="en-GB"/>
        </w:rPr>
        <w:t xml:space="preserve">symbols </w:t>
      </w:r>
      <w:r w:rsidRPr="00B37236">
        <w:rPr>
          <w:sz w:val="22"/>
          <w:szCs w:val="22"/>
          <w:lang w:val="en-GB"/>
        </w:rPr>
        <w:t xml:space="preserve">was made. </w:t>
      </w:r>
    </w:p>
    <w:p w14:paraId="73BAA1B3" w14:textId="77777777" w:rsidR="00B37236" w:rsidRPr="00B37236" w:rsidRDefault="00B37236" w:rsidP="00B37236">
      <w:pPr>
        <w:rPr>
          <w:sz w:val="22"/>
          <w:szCs w:val="22"/>
          <w:lang w:val="en-GB"/>
        </w:rPr>
      </w:pPr>
    </w:p>
    <w:tbl>
      <w:tblPr>
        <w:tblStyle w:val="TableGrid"/>
        <w:tblW w:w="0" w:type="auto"/>
        <w:tblLook w:val="04A0" w:firstRow="1" w:lastRow="0" w:firstColumn="1" w:lastColumn="0" w:noHBand="0" w:noVBand="1"/>
      </w:tblPr>
      <w:tblGrid>
        <w:gridCol w:w="10160"/>
      </w:tblGrid>
      <w:tr w:rsidR="00715D65" w14:paraId="7E453F16" w14:textId="77777777" w:rsidTr="00715D65">
        <w:tc>
          <w:tcPr>
            <w:tcW w:w="10160" w:type="dxa"/>
          </w:tcPr>
          <w:p w14:paraId="7CA6AECE" w14:textId="77777777" w:rsidR="00715D65" w:rsidRPr="00D83559" w:rsidRDefault="00715D65" w:rsidP="00715D65">
            <w:pPr>
              <w:spacing w:before="0" w:line="240" w:lineRule="auto"/>
              <w:rPr>
                <w:rFonts w:eastAsia="Malgun Gothic"/>
                <w:b/>
                <w:szCs w:val="20"/>
                <w:highlight w:val="green"/>
                <w:lang w:eastAsia="zh-CN"/>
              </w:rPr>
            </w:pPr>
            <w:r w:rsidRPr="00D83559">
              <w:rPr>
                <w:rFonts w:eastAsia="Malgun Gothic"/>
                <w:b/>
                <w:szCs w:val="20"/>
                <w:highlight w:val="green"/>
                <w:lang w:eastAsia="zh-CN"/>
              </w:rPr>
              <w:t>Agreement</w:t>
            </w:r>
          </w:p>
          <w:p w14:paraId="218D127E" w14:textId="77777777" w:rsidR="00715D65" w:rsidRPr="00D83559" w:rsidRDefault="00715D65" w:rsidP="00715D65">
            <w:pPr>
              <w:spacing w:before="0" w:line="240" w:lineRule="auto"/>
              <w:rPr>
                <w:rFonts w:eastAsia="Malgun Gothic"/>
                <w:szCs w:val="20"/>
                <w:lang w:eastAsia="zh-CN"/>
              </w:rPr>
            </w:pPr>
            <w:r w:rsidRPr="00D83559">
              <w:rPr>
                <w:rFonts w:eastAsia="Malgun Gothic"/>
                <w:szCs w:val="20"/>
                <w:lang w:eastAsia="zh-CN"/>
              </w:rPr>
              <w:t>A guard period can be configured for frequency hopping and antenna switching of additional SRS symbols.</w:t>
            </w:r>
          </w:p>
          <w:p w14:paraId="3C0B36C7" w14:textId="77777777" w:rsidR="00715D65" w:rsidRPr="00D83559" w:rsidRDefault="00715D65" w:rsidP="00715D65">
            <w:pPr>
              <w:pStyle w:val="ListParagraph"/>
              <w:numPr>
                <w:ilvl w:val="0"/>
                <w:numId w:val="34"/>
              </w:numPr>
              <w:overflowPunct w:val="0"/>
              <w:autoSpaceDE w:val="0"/>
              <w:autoSpaceDN w:val="0"/>
              <w:adjustRightInd w:val="0"/>
              <w:spacing w:before="0" w:line="240" w:lineRule="auto"/>
              <w:contextualSpacing/>
              <w:textAlignment w:val="baseline"/>
              <w:rPr>
                <w:rFonts w:ascii="Times New Roman" w:eastAsia="Malgun Gothic" w:hAnsi="Times New Roman"/>
                <w:sz w:val="20"/>
                <w:szCs w:val="20"/>
                <w:lang w:eastAsia="zh-CN"/>
              </w:rPr>
            </w:pPr>
            <w:r w:rsidRPr="00D83559">
              <w:rPr>
                <w:rFonts w:ascii="Times New Roman" w:eastAsia="Malgun Gothic" w:hAnsi="Times New Roman"/>
                <w:sz w:val="20"/>
                <w:szCs w:val="20"/>
                <w:lang w:eastAsia="zh-CN"/>
              </w:rPr>
              <w:t>If guard period is configured, it is 1 OFDM symbol</w:t>
            </w:r>
          </w:p>
          <w:p w14:paraId="32FBBB17" w14:textId="28E07EAE" w:rsidR="00715D65" w:rsidRPr="00715D65" w:rsidRDefault="00715D65" w:rsidP="00715D65">
            <w:pPr>
              <w:pStyle w:val="ListParagraph"/>
              <w:numPr>
                <w:ilvl w:val="0"/>
                <w:numId w:val="34"/>
              </w:numPr>
              <w:overflowPunct w:val="0"/>
              <w:autoSpaceDE w:val="0"/>
              <w:autoSpaceDN w:val="0"/>
              <w:adjustRightInd w:val="0"/>
              <w:ind w:left="720" w:hanging="320"/>
              <w:contextualSpacing/>
              <w:textAlignment w:val="baseline"/>
              <w:rPr>
                <w:rFonts w:ascii="Times New Roman" w:eastAsia="Malgun Gothic" w:hAnsi="Times New Roman"/>
                <w:sz w:val="20"/>
                <w:szCs w:val="20"/>
                <w:lang w:eastAsia="zh-CN"/>
              </w:rPr>
            </w:pPr>
            <w:r w:rsidRPr="00D83559">
              <w:rPr>
                <w:rFonts w:ascii="Times New Roman" w:eastAsia="Malgun Gothic" w:hAnsi="Times New Roman"/>
                <w:sz w:val="20"/>
                <w:szCs w:val="20"/>
                <w:lang w:eastAsia="zh-CN"/>
              </w:rPr>
              <w:t>FFS: Guard period for frequency hopping and/or antenna switching is always configured when intra-subframe repetition is not configured,</w:t>
            </w:r>
          </w:p>
        </w:tc>
      </w:tr>
    </w:tbl>
    <w:p w14:paraId="28BEC0AA" w14:textId="77777777" w:rsidR="00715D65" w:rsidRDefault="00715D65" w:rsidP="00715D65">
      <w:pPr>
        <w:rPr>
          <w:rFonts w:eastAsia="Malgun Gothic"/>
          <w:b/>
          <w:szCs w:val="20"/>
          <w:highlight w:val="green"/>
          <w:lang w:eastAsia="zh-CN"/>
        </w:rPr>
      </w:pPr>
    </w:p>
    <w:p w14:paraId="38F1FEB1" w14:textId="52EB4BDA" w:rsidR="00715D65" w:rsidRPr="00C4789E" w:rsidRDefault="00756ACC" w:rsidP="00371115">
      <w:pPr>
        <w:overflowPunct w:val="0"/>
        <w:autoSpaceDE w:val="0"/>
        <w:autoSpaceDN w:val="0"/>
        <w:adjustRightInd w:val="0"/>
        <w:contextualSpacing/>
        <w:jc w:val="both"/>
        <w:textAlignment w:val="baseline"/>
        <w:rPr>
          <w:rFonts w:eastAsia="Malgun Gothic"/>
          <w:sz w:val="22"/>
          <w:szCs w:val="22"/>
          <w:lang w:eastAsia="zh-CN"/>
        </w:rPr>
      </w:pPr>
      <w:r w:rsidRPr="00C4789E">
        <w:rPr>
          <w:rFonts w:eastAsia="Malgun Gothic"/>
          <w:sz w:val="22"/>
          <w:szCs w:val="22"/>
          <w:lang w:eastAsia="zh-CN"/>
        </w:rPr>
        <w:t xml:space="preserve">According to </w:t>
      </w:r>
      <w:r w:rsidR="00371115" w:rsidRPr="00C4789E">
        <w:rPr>
          <w:rFonts w:eastAsia="Malgun Gothic"/>
          <w:sz w:val="22"/>
          <w:szCs w:val="22"/>
          <w:lang w:eastAsia="zh-CN"/>
        </w:rPr>
        <w:t>the</w:t>
      </w:r>
      <w:r w:rsidRPr="00C4789E">
        <w:rPr>
          <w:rFonts w:eastAsia="Malgun Gothic"/>
          <w:sz w:val="22"/>
          <w:szCs w:val="22"/>
          <w:lang w:eastAsia="zh-CN"/>
        </w:rPr>
        <w:t xml:space="preserve"> agreement </w:t>
      </w:r>
      <w:r w:rsidR="00371115" w:rsidRPr="00C4789E">
        <w:rPr>
          <w:rFonts w:eastAsia="Malgun Gothic"/>
          <w:sz w:val="22"/>
          <w:szCs w:val="22"/>
          <w:lang w:eastAsia="zh-CN"/>
        </w:rPr>
        <w:t xml:space="preserve">a </w:t>
      </w:r>
      <w:r w:rsidRPr="00C4789E">
        <w:rPr>
          <w:rFonts w:eastAsia="Malgun Gothic"/>
          <w:sz w:val="22"/>
          <w:szCs w:val="22"/>
          <w:lang w:eastAsia="zh-CN"/>
        </w:rPr>
        <w:t xml:space="preserve">guard period of one </w:t>
      </w:r>
      <w:r w:rsidR="00371115" w:rsidRPr="00C4789E">
        <w:rPr>
          <w:rFonts w:eastAsia="Malgun Gothic"/>
          <w:sz w:val="22"/>
          <w:szCs w:val="22"/>
          <w:lang w:eastAsia="zh-CN"/>
        </w:rPr>
        <w:t>OFDM symbol can be configured</w:t>
      </w:r>
      <w:r w:rsidRPr="00C4789E">
        <w:rPr>
          <w:rFonts w:eastAsia="Malgun Gothic"/>
          <w:sz w:val="22"/>
          <w:szCs w:val="22"/>
          <w:lang w:eastAsia="zh-CN"/>
        </w:rPr>
        <w:t xml:space="preserve"> when frequency hoppin</w:t>
      </w:r>
      <w:r w:rsidR="00371115" w:rsidRPr="00C4789E">
        <w:rPr>
          <w:rFonts w:eastAsia="Malgun Gothic"/>
          <w:sz w:val="22"/>
          <w:szCs w:val="22"/>
          <w:lang w:eastAsia="zh-CN"/>
        </w:rPr>
        <w:t>g / antenna switching is used. I</w:t>
      </w:r>
      <w:r w:rsidR="00441D22">
        <w:rPr>
          <w:rFonts w:eastAsia="Malgun Gothic"/>
          <w:sz w:val="22"/>
          <w:szCs w:val="22"/>
          <w:lang w:eastAsia="zh-CN"/>
        </w:rPr>
        <w:t>t should be noted that</w:t>
      </w:r>
      <w:r w:rsidR="00371115" w:rsidRPr="00C4789E">
        <w:rPr>
          <w:rFonts w:eastAsia="Malgun Gothic"/>
          <w:sz w:val="22"/>
          <w:szCs w:val="22"/>
          <w:lang w:eastAsia="zh-CN"/>
        </w:rPr>
        <w:t xml:space="preserve"> </w:t>
      </w:r>
      <w:r w:rsidR="00C4789E">
        <w:rPr>
          <w:rFonts w:eastAsia="Malgun Gothic"/>
          <w:sz w:val="22"/>
          <w:szCs w:val="22"/>
          <w:lang w:eastAsia="zh-CN"/>
        </w:rPr>
        <w:t xml:space="preserve">the usage of </w:t>
      </w:r>
      <w:r w:rsidR="00371115" w:rsidRPr="00C4789E">
        <w:rPr>
          <w:rFonts w:eastAsia="Malgun Gothic"/>
          <w:sz w:val="22"/>
          <w:szCs w:val="22"/>
          <w:lang w:eastAsia="zh-CN"/>
        </w:rPr>
        <w:t xml:space="preserve">SRS </w:t>
      </w:r>
      <w:r w:rsidR="00C4789E">
        <w:rPr>
          <w:rFonts w:eastAsia="Malgun Gothic"/>
          <w:sz w:val="22"/>
          <w:szCs w:val="22"/>
          <w:lang w:eastAsia="zh-CN"/>
        </w:rPr>
        <w:t xml:space="preserve">guard period </w:t>
      </w:r>
      <w:r w:rsidR="00371115" w:rsidRPr="00C4789E">
        <w:rPr>
          <w:rFonts w:eastAsia="Malgun Gothic"/>
          <w:sz w:val="22"/>
          <w:szCs w:val="22"/>
          <w:lang w:eastAsia="zh-CN"/>
        </w:rPr>
        <w:t xml:space="preserve">is </w:t>
      </w:r>
      <w:r w:rsidR="00C4789E">
        <w:rPr>
          <w:rFonts w:eastAsia="Malgun Gothic"/>
          <w:sz w:val="22"/>
          <w:szCs w:val="22"/>
          <w:lang w:eastAsia="zh-CN"/>
        </w:rPr>
        <w:t>not required when additional SRS are configured with repetition</w:t>
      </w:r>
      <w:r w:rsidR="00B37236">
        <w:rPr>
          <w:rFonts w:eastAsia="Malgun Gothic"/>
          <w:sz w:val="22"/>
          <w:szCs w:val="22"/>
          <w:lang w:eastAsia="zh-CN"/>
        </w:rPr>
        <w:t xml:space="preserve"> due to </w:t>
      </w:r>
      <w:r w:rsidR="00664EA5">
        <w:rPr>
          <w:rFonts w:eastAsia="Malgun Gothic"/>
          <w:sz w:val="22"/>
          <w:szCs w:val="22"/>
          <w:lang w:eastAsia="zh-CN"/>
        </w:rPr>
        <w:t xml:space="preserve">multiple adjacent </w:t>
      </w:r>
      <w:r w:rsidR="00B37236">
        <w:rPr>
          <w:rFonts w:eastAsia="Malgun Gothic"/>
          <w:sz w:val="22"/>
          <w:szCs w:val="22"/>
          <w:lang w:eastAsia="zh-CN"/>
        </w:rPr>
        <w:t>SRS transmission</w:t>
      </w:r>
      <w:r w:rsidR="00664EA5">
        <w:rPr>
          <w:rFonts w:eastAsia="Malgun Gothic"/>
          <w:sz w:val="22"/>
          <w:szCs w:val="22"/>
          <w:lang w:eastAsia="zh-CN"/>
        </w:rPr>
        <w:t xml:space="preserve"> occasion</w:t>
      </w:r>
      <w:r w:rsidR="00B37236">
        <w:rPr>
          <w:rFonts w:eastAsia="Malgun Gothic"/>
          <w:sz w:val="22"/>
          <w:szCs w:val="22"/>
          <w:lang w:eastAsia="zh-CN"/>
        </w:rPr>
        <w:t xml:space="preserve"> in the same subframe</w:t>
      </w:r>
      <w:r w:rsidR="00371115" w:rsidRPr="00C4789E">
        <w:rPr>
          <w:rFonts w:eastAsia="Malgun Gothic"/>
          <w:sz w:val="22"/>
          <w:szCs w:val="22"/>
          <w:lang w:eastAsia="zh-CN"/>
        </w:rPr>
        <w:t>. It is</w:t>
      </w:r>
      <w:r w:rsidR="00B37236">
        <w:rPr>
          <w:rFonts w:eastAsia="Malgun Gothic"/>
          <w:sz w:val="22"/>
          <w:szCs w:val="22"/>
          <w:lang w:eastAsia="zh-CN"/>
        </w:rPr>
        <w:t>,</w:t>
      </w:r>
      <w:r w:rsidR="00371115" w:rsidRPr="00C4789E">
        <w:rPr>
          <w:rFonts w:eastAsia="Malgun Gothic"/>
          <w:sz w:val="22"/>
          <w:szCs w:val="22"/>
          <w:lang w:eastAsia="zh-CN"/>
        </w:rPr>
        <w:t xml:space="preserve"> therefore</w:t>
      </w:r>
      <w:r w:rsidR="00B37236">
        <w:rPr>
          <w:rFonts w:eastAsia="Malgun Gothic"/>
          <w:sz w:val="22"/>
          <w:szCs w:val="22"/>
          <w:lang w:eastAsia="zh-CN"/>
        </w:rPr>
        <w:t>,</w:t>
      </w:r>
      <w:r w:rsidR="00371115" w:rsidRPr="00C4789E">
        <w:rPr>
          <w:rFonts w:eastAsia="Malgun Gothic"/>
          <w:sz w:val="22"/>
          <w:szCs w:val="22"/>
          <w:lang w:eastAsia="zh-CN"/>
        </w:rPr>
        <w:t xml:space="preserve"> </w:t>
      </w:r>
      <w:r w:rsidR="00C4789E">
        <w:rPr>
          <w:rFonts w:eastAsia="Malgun Gothic"/>
          <w:sz w:val="22"/>
          <w:szCs w:val="22"/>
          <w:lang w:eastAsia="zh-CN"/>
        </w:rPr>
        <w:t xml:space="preserve">recommended </w:t>
      </w:r>
      <w:r w:rsidR="00441D22">
        <w:rPr>
          <w:rFonts w:eastAsia="Malgun Gothic"/>
          <w:sz w:val="22"/>
          <w:szCs w:val="22"/>
          <w:lang w:eastAsia="zh-CN"/>
        </w:rPr>
        <w:t xml:space="preserve">to restrict configuration of </w:t>
      </w:r>
      <w:r w:rsidR="00371115" w:rsidRPr="00C4789E">
        <w:rPr>
          <w:rFonts w:eastAsia="Malgun Gothic"/>
          <w:sz w:val="22"/>
          <w:szCs w:val="22"/>
          <w:lang w:eastAsia="zh-CN"/>
        </w:rPr>
        <w:t>the guard periods only for the SRS transmission scenarios without intra-subframe repetitions</w:t>
      </w:r>
      <w:r w:rsidR="00441D22">
        <w:rPr>
          <w:rFonts w:eastAsia="Malgun Gothic"/>
          <w:sz w:val="22"/>
          <w:szCs w:val="22"/>
          <w:lang w:eastAsia="zh-CN"/>
        </w:rPr>
        <w:t>.</w:t>
      </w:r>
      <w:r w:rsidR="00B37236">
        <w:rPr>
          <w:rFonts w:eastAsia="Malgun Gothic"/>
          <w:sz w:val="22"/>
          <w:szCs w:val="22"/>
          <w:lang w:eastAsia="zh-CN"/>
        </w:rPr>
        <w:t xml:space="preserve"> Such restriction would allow more efficient us</w:t>
      </w:r>
      <w:r w:rsidR="00C14BA0">
        <w:rPr>
          <w:rFonts w:eastAsia="Malgun Gothic"/>
          <w:sz w:val="22"/>
          <w:szCs w:val="22"/>
          <w:lang w:eastAsia="zh-CN"/>
        </w:rPr>
        <w:t>e of the UL subframe resources for the UE.</w:t>
      </w:r>
    </w:p>
    <w:p w14:paraId="64C996B0" w14:textId="77777777" w:rsidR="00715D65" w:rsidRPr="00C4789E" w:rsidRDefault="00715D65" w:rsidP="00715D65">
      <w:pPr>
        <w:overflowPunct w:val="0"/>
        <w:autoSpaceDE w:val="0"/>
        <w:autoSpaceDN w:val="0"/>
        <w:adjustRightInd w:val="0"/>
        <w:contextualSpacing/>
        <w:textAlignment w:val="baseline"/>
        <w:rPr>
          <w:rFonts w:eastAsia="Malgun Gothic"/>
          <w:sz w:val="22"/>
          <w:szCs w:val="22"/>
          <w:lang w:eastAsia="zh-CN"/>
        </w:rPr>
      </w:pPr>
    </w:p>
    <w:p w14:paraId="518D1593" w14:textId="1D39F830" w:rsidR="00715D65" w:rsidRPr="00C4789E" w:rsidRDefault="00715D65" w:rsidP="006A0872">
      <w:pPr>
        <w:overflowPunct w:val="0"/>
        <w:autoSpaceDE w:val="0"/>
        <w:autoSpaceDN w:val="0"/>
        <w:adjustRightInd w:val="0"/>
        <w:contextualSpacing/>
        <w:textAlignment w:val="baseline"/>
        <w:rPr>
          <w:rFonts w:eastAsia="Malgun Gothic"/>
          <w:i/>
          <w:sz w:val="22"/>
          <w:szCs w:val="22"/>
          <w:lang w:eastAsia="zh-CN"/>
        </w:rPr>
      </w:pPr>
      <w:r w:rsidRPr="00C4789E">
        <w:rPr>
          <w:rFonts w:eastAsia="Malgun Gothic"/>
          <w:b/>
          <w:i/>
          <w:sz w:val="22"/>
          <w:szCs w:val="22"/>
          <w:lang w:eastAsia="zh-CN"/>
        </w:rPr>
        <w:t>Proposal</w:t>
      </w:r>
      <w:r w:rsidR="00C14BA0">
        <w:rPr>
          <w:rFonts w:eastAsia="Malgun Gothic"/>
          <w:b/>
          <w:i/>
          <w:sz w:val="22"/>
          <w:szCs w:val="22"/>
          <w:lang w:eastAsia="zh-CN"/>
        </w:rPr>
        <w:t xml:space="preserve"> 1</w:t>
      </w:r>
      <w:r w:rsidR="006A0872" w:rsidRPr="00C4789E">
        <w:rPr>
          <w:rFonts w:eastAsia="Malgun Gothic"/>
          <w:b/>
          <w:i/>
          <w:sz w:val="22"/>
          <w:szCs w:val="22"/>
          <w:lang w:eastAsia="zh-CN"/>
        </w:rPr>
        <w:t xml:space="preserve">: </w:t>
      </w:r>
      <w:r w:rsidR="00371115" w:rsidRPr="00C4789E">
        <w:rPr>
          <w:rFonts w:eastAsia="Malgun Gothic"/>
          <w:i/>
          <w:sz w:val="22"/>
          <w:szCs w:val="22"/>
          <w:lang w:eastAsia="zh-CN"/>
        </w:rPr>
        <w:t>SRS guard periods for antenna switching / frequency hopping are not used when additional SRS are configured with repetitions</w:t>
      </w:r>
    </w:p>
    <w:p w14:paraId="1A7C5C91" w14:textId="4CDA7CDD" w:rsidR="00DE7C23" w:rsidRDefault="00715D65" w:rsidP="005E7A64">
      <w:pPr>
        <w:pStyle w:val="Heading1"/>
        <w:ind w:left="360" w:hanging="360"/>
      </w:pPr>
      <w:r>
        <w:t>2</w:t>
      </w:r>
      <w:r w:rsidR="00DE7C23">
        <w:t xml:space="preserve">. </w:t>
      </w:r>
      <w:r>
        <w:t>The order of i</w:t>
      </w:r>
      <w:r w:rsidR="00DE7C23">
        <w:t>ntra sub-frame repetition, frequency hopping and antenna switching</w:t>
      </w:r>
    </w:p>
    <w:tbl>
      <w:tblPr>
        <w:tblStyle w:val="TableGrid"/>
        <w:tblW w:w="0" w:type="auto"/>
        <w:tblLook w:val="04A0" w:firstRow="1" w:lastRow="0" w:firstColumn="1" w:lastColumn="0" w:noHBand="0" w:noVBand="1"/>
      </w:tblPr>
      <w:tblGrid>
        <w:gridCol w:w="10160"/>
      </w:tblGrid>
      <w:tr w:rsidR="00756ACC" w14:paraId="2169BD10" w14:textId="77777777" w:rsidTr="00756ACC">
        <w:tc>
          <w:tcPr>
            <w:tcW w:w="10160" w:type="dxa"/>
          </w:tcPr>
          <w:p w14:paraId="7086CF79" w14:textId="77777777" w:rsidR="00756ACC" w:rsidRPr="00D83559" w:rsidRDefault="00756ACC" w:rsidP="00756ACC">
            <w:pPr>
              <w:spacing w:before="0" w:line="240" w:lineRule="auto"/>
              <w:rPr>
                <w:rFonts w:eastAsia="Malgun Gothic"/>
                <w:b/>
                <w:szCs w:val="20"/>
                <w:highlight w:val="darkYellow"/>
                <w:lang w:eastAsia="zh-CN"/>
              </w:rPr>
            </w:pPr>
            <w:r w:rsidRPr="00D83559">
              <w:rPr>
                <w:rFonts w:eastAsia="Malgun Gothic"/>
                <w:b/>
                <w:szCs w:val="20"/>
                <w:highlight w:val="darkYellow"/>
                <w:lang w:eastAsia="zh-CN"/>
              </w:rPr>
              <w:t>Working Assumption</w:t>
            </w:r>
          </w:p>
          <w:p w14:paraId="48F606A5" w14:textId="64B287E1" w:rsidR="00756ACC" w:rsidRPr="00756ACC" w:rsidRDefault="00756ACC" w:rsidP="00756ACC">
            <w:pPr>
              <w:spacing w:before="0" w:line="240" w:lineRule="auto"/>
              <w:rPr>
                <w:rFonts w:eastAsia="Malgun Gothic"/>
                <w:szCs w:val="20"/>
                <w:lang w:eastAsia="zh-CN"/>
              </w:rPr>
            </w:pPr>
            <w:r w:rsidRPr="00D83559">
              <w:rPr>
                <w:rFonts w:eastAsia="Malgun Gothic"/>
                <w:szCs w:val="20"/>
                <w:lang w:eastAsia="zh-CN"/>
              </w:rPr>
              <w:t>When intra-subframe frequency hopping/repetition and intra-subframe antenna switching are concurrently configured, frequency hopping should be performed before antenna switching.</w:t>
            </w:r>
          </w:p>
        </w:tc>
      </w:tr>
    </w:tbl>
    <w:p w14:paraId="583C8BF7" w14:textId="77777777" w:rsidR="00715D65" w:rsidRPr="00371115" w:rsidRDefault="00715D65" w:rsidP="00715D65">
      <w:pPr>
        <w:ind w:firstLine="360"/>
        <w:rPr>
          <w:szCs w:val="22"/>
        </w:rPr>
      </w:pPr>
    </w:p>
    <w:p w14:paraId="538306E5" w14:textId="77777777" w:rsidR="00C14BA0" w:rsidRDefault="00756ACC" w:rsidP="006A0872">
      <w:pPr>
        <w:ind w:firstLine="360"/>
        <w:jc w:val="both"/>
        <w:rPr>
          <w:sz w:val="22"/>
          <w:szCs w:val="22"/>
        </w:rPr>
      </w:pPr>
      <w:r w:rsidRPr="00C4789E">
        <w:rPr>
          <w:sz w:val="22"/>
          <w:szCs w:val="22"/>
        </w:rPr>
        <w:t xml:space="preserve">In RAN1#97, the working assumption </w:t>
      </w:r>
      <w:r w:rsidR="00371115" w:rsidRPr="00C4789E">
        <w:rPr>
          <w:sz w:val="22"/>
          <w:szCs w:val="22"/>
        </w:rPr>
        <w:t xml:space="preserve">has been made </w:t>
      </w:r>
      <w:r w:rsidR="00C4789E">
        <w:rPr>
          <w:sz w:val="22"/>
          <w:szCs w:val="22"/>
        </w:rPr>
        <w:t xml:space="preserve">defining the </w:t>
      </w:r>
      <w:r w:rsidRPr="00C4789E">
        <w:rPr>
          <w:sz w:val="22"/>
          <w:szCs w:val="22"/>
        </w:rPr>
        <w:t xml:space="preserve">order of </w:t>
      </w:r>
      <w:r w:rsidR="00441D22">
        <w:rPr>
          <w:sz w:val="22"/>
          <w:szCs w:val="22"/>
        </w:rPr>
        <w:t xml:space="preserve">additional </w:t>
      </w:r>
      <w:r w:rsidR="006A0872" w:rsidRPr="00C4789E">
        <w:rPr>
          <w:sz w:val="22"/>
          <w:szCs w:val="22"/>
        </w:rPr>
        <w:t xml:space="preserve">SRS transmission with </w:t>
      </w:r>
      <w:r w:rsidRPr="00C4789E">
        <w:rPr>
          <w:sz w:val="22"/>
          <w:szCs w:val="22"/>
        </w:rPr>
        <w:t xml:space="preserve">frequency hopping and antenna switching. More specifically, </w:t>
      </w:r>
      <w:r w:rsidR="00371115" w:rsidRPr="00C4789E">
        <w:rPr>
          <w:sz w:val="22"/>
          <w:szCs w:val="22"/>
        </w:rPr>
        <w:t>the frequency hopping</w:t>
      </w:r>
      <w:r w:rsidR="006A0872" w:rsidRPr="00C4789E">
        <w:rPr>
          <w:sz w:val="22"/>
          <w:szCs w:val="22"/>
        </w:rPr>
        <w:t xml:space="preserve"> for </w:t>
      </w:r>
      <w:r w:rsidR="00C4789E">
        <w:rPr>
          <w:sz w:val="22"/>
          <w:szCs w:val="22"/>
        </w:rPr>
        <w:t xml:space="preserve">additional </w:t>
      </w:r>
      <w:r w:rsidR="006A0872" w:rsidRPr="00C4789E">
        <w:rPr>
          <w:sz w:val="22"/>
          <w:szCs w:val="22"/>
        </w:rPr>
        <w:t>SRS</w:t>
      </w:r>
      <w:r w:rsidR="00371115" w:rsidRPr="00C4789E">
        <w:rPr>
          <w:sz w:val="22"/>
          <w:szCs w:val="22"/>
        </w:rPr>
        <w:t xml:space="preserve"> should be performed </w:t>
      </w:r>
      <w:r w:rsidR="00C4789E">
        <w:rPr>
          <w:sz w:val="22"/>
          <w:szCs w:val="22"/>
        </w:rPr>
        <w:t xml:space="preserve">first followed by </w:t>
      </w:r>
      <w:r w:rsidR="00371115" w:rsidRPr="00C4789E">
        <w:rPr>
          <w:sz w:val="22"/>
          <w:szCs w:val="22"/>
        </w:rPr>
        <w:t>antenna switching. In more general scenario</w:t>
      </w:r>
      <w:r w:rsidR="00441D22">
        <w:rPr>
          <w:sz w:val="22"/>
          <w:szCs w:val="22"/>
        </w:rPr>
        <w:t>,</w:t>
      </w:r>
      <w:r w:rsidR="00371115" w:rsidRPr="00C4789E">
        <w:rPr>
          <w:sz w:val="22"/>
          <w:szCs w:val="22"/>
        </w:rPr>
        <w:t xml:space="preserve"> </w:t>
      </w:r>
      <w:r w:rsidR="006A0872" w:rsidRPr="00C4789E">
        <w:rPr>
          <w:sz w:val="22"/>
          <w:szCs w:val="22"/>
        </w:rPr>
        <w:t xml:space="preserve">when SRS repetition is used </w:t>
      </w:r>
      <w:r w:rsidR="00C4789E">
        <w:rPr>
          <w:sz w:val="22"/>
          <w:szCs w:val="22"/>
        </w:rPr>
        <w:t xml:space="preserve">in conjunction with SRS frequency hopping </w:t>
      </w:r>
      <w:r w:rsidR="00441D22">
        <w:rPr>
          <w:sz w:val="22"/>
          <w:szCs w:val="22"/>
        </w:rPr>
        <w:t>and/</w:t>
      </w:r>
      <w:r w:rsidR="00C4789E">
        <w:rPr>
          <w:sz w:val="22"/>
          <w:szCs w:val="22"/>
        </w:rPr>
        <w:t xml:space="preserve">or antenna switching, </w:t>
      </w:r>
      <w:r w:rsidR="006A0872" w:rsidRPr="00C4789E">
        <w:rPr>
          <w:sz w:val="22"/>
          <w:szCs w:val="22"/>
        </w:rPr>
        <w:t xml:space="preserve">the </w:t>
      </w:r>
      <w:r w:rsidR="00441D22">
        <w:rPr>
          <w:sz w:val="22"/>
          <w:szCs w:val="22"/>
        </w:rPr>
        <w:t>SRS transmission order should be further clarify</w:t>
      </w:r>
      <w:r w:rsidR="006A0872" w:rsidRPr="00C4789E">
        <w:rPr>
          <w:sz w:val="22"/>
          <w:szCs w:val="22"/>
        </w:rPr>
        <w:t xml:space="preserve">. </w:t>
      </w:r>
    </w:p>
    <w:p w14:paraId="5205BB5F" w14:textId="207B6C44" w:rsidR="005E7A64" w:rsidRPr="00C4789E" w:rsidRDefault="006A0872" w:rsidP="006A0872">
      <w:pPr>
        <w:ind w:firstLine="360"/>
        <w:jc w:val="both"/>
        <w:rPr>
          <w:sz w:val="22"/>
          <w:szCs w:val="22"/>
        </w:rPr>
      </w:pPr>
      <w:r w:rsidRPr="00C4789E">
        <w:rPr>
          <w:sz w:val="22"/>
          <w:szCs w:val="22"/>
        </w:rPr>
        <w:t>More specifically, t</w:t>
      </w:r>
      <w:r w:rsidR="003E276A" w:rsidRPr="00C4789E">
        <w:rPr>
          <w:sz w:val="22"/>
          <w:szCs w:val="22"/>
        </w:rPr>
        <w:t>o</w:t>
      </w:r>
      <w:r w:rsidR="005E7A64" w:rsidRPr="00C4789E">
        <w:rPr>
          <w:sz w:val="22"/>
          <w:szCs w:val="22"/>
        </w:rPr>
        <w:t xml:space="preserve"> maximize the processing gains and minimize the number of transient periods, </w:t>
      </w:r>
      <w:r w:rsidR="00441D22">
        <w:rPr>
          <w:sz w:val="22"/>
          <w:szCs w:val="22"/>
        </w:rPr>
        <w:t xml:space="preserve">it is recommended to perform </w:t>
      </w:r>
      <w:r w:rsidR="00A04EE9" w:rsidRPr="00C4789E">
        <w:rPr>
          <w:sz w:val="22"/>
          <w:szCs w:val="22"/>
        </w:rPr>
        <w:t>SRS</w:t>
      </w:r>
      <w:r w:rsidR="00C4789E">
        <w:rPr>
          <w:sz w:val="22"/>
          <w:szCs w:val="22"/>
        </w:rPr>
        <w:t xml:space="preserve"> </w:t>
      </w:r>
      <w:r w:rsidR="00441D22">
        <w:rPr>
          <w:sz w:val="22"/>
          <w:szCs w:val="22"/>
        </w:rPr>
        <w:t>repetitions</w:t>
      </w:r>
      <w:r w:rsidR="00C4789E">
        <w:rPr>
          <w:sz w:val="22"/>
          <w:szCs w:val="22"/>
        </w:rPr>
        <w:t xml:space="preserve"> first, followed by SRS frequency hopping</w:t>
      </w:r>
      <w:r w:rsidRPr="00C4789E">
        <w:rPr>
          <w:sz w:val="22"/>
          <w:szCs w:val="22"/>
        </w:rPr>
        <w:t xml:space="preserve"> and then </w:t>
      </w:r>
      <w:r w:rsidR="00A04EE9" w:rsidRPr="00C4789E">
        <w:rPr>
          <w:sz w:val="22"/>
          <w:szCs w:val="22"/>
        </w:rPr>
        <w:t>SRS antenna switching.</w:t>
      </w:r>
      <w:r w:rsidR="00441D22">
        <w:rPr>
          <w:sz w:val="22"/>
          <w:szCs w:val="22"/>
        </w:rPr>
        <w:t xml:space="preserve"> </w:t>
      </w:r>
      <w:r w:rsidR="00C14BA0">
        <w:rPr>
          <w:sz w:val="22"/>
          <w:szCs w:val="22"/>
        </w:rPr>
        <w:t xml:space="preserve">Such </w:t>
      </w:r>
      <w:r w:rsidR="00441D22">
        <w:rPr>
          <w:sz w:val="22"/>
          <w:szCs w:val="22"/>
        </w:rPr>
        <w:t xml:space="preserve">SRS </w:t>
      </w:r>
      <w:r w:rsidR="00C14BA0">
        <w:rPr>
          <w:sz w:val="22"/>
          <w:szCs w:val="22"/>
        </w:rPr>
        <w:t>transmission</w:t>
      </w:r>
      <w:r w:rsidR="00664EA5">
        <w:rPr>
          <w:sz w:val="22"/>
          <w:szCs w:val="22"/>
        </w:rPr>
        <w:t xml:space="preserve"> order</w:t>
      </w:r>
      <w:r w:rsidR="00C14BA0">
        <w:rPr>
          <w:sz w:val="22"/>
          <w:szCs w:val="22"/>
        </w:rPr>
        <w:t xml:space="preserve"> </w:t>
      </w:r>
      <w:r w:rsidR="00441D22">
        <w:rPr>
          <w:sz w:val="22"/>
          <w:szCs w:val="22"/>
        </w:rPr>
        <w:t xml:space="preserve">should make </w:t>
      </w:r>
      <w:r w:rsidR="00C14BA0">
        <w:rPr>
          <w:sz w:val="22"/>
          <w:szCs w:val="22"/>
        </w:rPr>
        <w:t xml:space="preserve">DL CSI acquisition </w:t>
      </w:r>
      <w:r w:rsidR="00664EA5">
        <w:rPr>
          <w:sz w:val="22"/>
          <w:szCs w:val="22"/>
        </w:rPr>
        <w:t xml:space="preserve">on SRS </w:t>
      </w:r>
      <w:r w:rsidR="00441D22">
        <w:rPr>
          <w:sz w:val="22"/>
          <w:szCs w:val="22"/>
        </w:rPr>
        <w:t xml:space="preserve">more robust in the channels with fast fading </w:t>
      </w:r>
      <w:r w:rsidR="00C14BA0">
        <w:rPr>
          <w:sz w:val="22"/>
          <w:szCs w:val="22"/>
        </w:rPr>
        <w:t xml:space="preserve">as well as </w:t>
      </w:r>
      <w:r w:rsidR="00664EA5">
        <w:rPr>
          <w:sz w:val="22"/>
          <w:szCs w:val="22"/>
        </w:rPr>
        <w:t xml:space="preserve">would </w:t>
      </w:r>
      <w:r w:rsidR="00C14BA0">
        <w:rPr>
          <w:sz w:val="22"/>
          <w:szCs w:val="22"/>
        </w:rPr>
        <w:t xml:space="preserve">minimize the </w:t>
      </w:r>
      <w:r w:rsidR="00664EA5">
        <w:rPr>
          <w:sz w:val="22"/>
          <w:szCs w:val="22"/>
        </w:rPr>
        <w:t xml:space="preserve">number of </w:t>
      </w:r>
      <w:r w:rsidR="00C14BA0">
        <w:rPr>
          <w:sz w:val="22"/>
          <w:szCs w:val="22"/>
        </w:rPr>
        <w:t>SRS interruptions due to transient period</w:t>
      </w:r>
      <w:r w:rsidR="00441D22">
        <w:rPr>
          <w:sz w:val="22"/>
          <w:szCs w:val="22"/>
        </w:rPr>
        <w:t xml:space="preserve">. </w:t>
      </w:r>
    </w:p>
    <w:p w14:paraId="2014212E" w14:textId="77777777" w:rsidR="003E276A" w:rsidRPr="00C4789E" w:rsidRDefault="003E276A" w:rsidP="00A04EE9">
      <w:pPr>
        <w:jc w:val="both"/>
        <w:rPr>
          <w:sz w:val="22"/>
          <w:szCs w:val="22"/>
        </w:rPr>
      </w:pPr>
    </w:p>
    <w:p w14:paraId="4F446EFC" w14:textId="53F31A49" w:rsidR="005E7A64" w:rsidRPr="00C4789E" w:rsidRDefault="005E7A64" w:rsidP="005E7A64">
      <w:pPr>
        <w:pStyle w:val="LGTdoc1"/>
        <w:spacing w:beforeLines="0" w:after="120" w:afterAutospacing="0"/>
        <w:rPr>
          <w:b w:val="0"/>
          <w:i/>
          <w:sz w:val="22"/>
          <w:szCs w:val="22"/>
        </w:rPr>
      </w:pPr>
      <w:r w:rsidRPr="00C4789E">
        <w:rPr>
          <w:rFonts w:eastAsia="SimSun"/>
          <w:i/>
          <w:snapToGrid/>
          <w:sz w:val="22"/>
          <w:szCs w:val="22"/>
          <w:lang w:eastAsia="en-US"/>
        </w:rPr>
        <w:t>Proposal</w:t>
      </w:r>
      <w:r w:rsidR="00C14BA0">
        <w:rPr>
          <w:rFonts w:eastAsia="SimSun"/>
          <w:i/>
          <w:snapToGrid/>
          <w:sz w:val="22"/>
          <w:szCs w:val="22"/>
          <w:lang w:eastAsia="en-US"/>
        </w:rPr>
        <w:t xml:space="preserve"> 2</w:t>
      </w:r>
      <w:r w:rsidRPr="00C4789E">
        <w:rPr>
          <w:rFonts w:eastAsia="SimSun"/>
          <w:b w:val="0"/>
          <w:i/>
          <w:snapToGrid/>
          <w:sz w:val="22"/>
          <w:szCs w:val="22"/>
          <w:lang w:eastAsia="en-US"/>
        </w:rPr>
        <w:t>: T</w:t>
      </w:r>
      <w:r w:rsidRPr="00C4789E">
        <w:rPr>
          <w:b w:val="0"/>
          <w:i/>
          <w:sz w:val="22"/>
          <w:szCs w:val="22"/>
        </w:rPr>
        <w:t xml:space="preserve">o maximize the processing gains and minimize the number of transient periods, SRS transmission should be performed </w:t>
      </w:r>
      <w:r w:rsidR="00C4789E">
        <w:rPr>
          <w:b w:val="0"/>
          <w:i/>
          <w:sz w:val="22"/>
          <w:szCs w:val="22"/>
        </w:rPr>
        <w:t>in the following order (1) repetition (2) frequency hopping (3) antenna switching</w:t>
      </w:r>
    </w:p>
    <w:p w14:paraId="761770EC" w14:textId="05E6EB4A" w:rsidR="003E276A" w:rsidRDefault="003E276A" w:rsidP="00664EA5">
      <w:pPr>
        <w:pStyle w:val="Heading1"/>
        <w:ind w:left="360" w:hanging="360"/>
      </w:pPr>
      <w:r>
        <w:t xml:space="preserve">4. </w:t>
      </w:r>
      <w:r w:rsidR="00053636">
        <w:t xml:space="preserve">Remaining details of </w:t>
      </w:r>
      <w:r w:rsidR="002023AA">
        <w:t xml:space="preserve">the </w:t>
      </w:r>
      <w:r w:rsidR="00053636">
        <w:t>f</w:t>
      </w:r>
      <w:r>
        <w:t>requency hopping</w:t>
      </w:r>
    </w:p>
    <w:p w14:paraId="5BD2B076" w14:textId="317A77EE" w:rsidR="002023AA" w:rsidRDefault="00441D22" w:rsidP="00A361CF">
      <w:pPr>
        <w:jc w:val="both"/>
        <w:rPr>
          <w:sz w:val="22"/>
          <w:szCs w:val="22"/>
          <w:lang w:val="en-GB"/>
        </w:rPr>
      </w:pPr>
      <w:r>
        <w:rPr>
          <w:sz w:val="22"/>
          <w:szCs w:val="22"/>
          <w:lang w:val="en-GB"/>
        </w:rPr>
        <w:t>In Rel-15 the f</w:t>
      </w:r>
      <w:r w:rsidR="00053636" w:rsidRPr="00C4789E">
        <w:rPr>
          <w:sz w:val="22"/>
          <w:szCs w:val="22"/>
          <w:lang w:val="en-GB"/>
        </w:rPr>
        <w:t xml:space="preserve">requency hopping for </w:t>
      </w:r>
      <w:r>
        <w:rPr>
          <w:sz w:val="22"/>
          <w:szCs w:val="22"/>
          <w:lang w:val="en-GB"/>
        </w:rPr>
        <w:t xml:space="preserve">the </w:t>
      </w:r>
      <w:r w:rsidR="00053636" w:rsidRPr="00C4789E">
        <w:rPr>
          <w:sz w:val="22"/>
          <w:szCs w:val="22"/>
          <w:lang w:val="en-GB"/>
        </w:rPr>
        <w:t xml:space="preserve">legacy SRS is only supported for periodic SRS transmissions. </w:t>
      </w:r>
      <w:r w:rsidR="00C4789E">
        <w:rPr>
          <w:sz w:val="22"/>
          <w:szCs w:val="22"/>
          <w:lang w:val="en-GB"/>
        </w:rPr>
        <w:t>In the scenario where legacy and additional SRS are configured</w:t>
      </w:r>
      <w:r w:rsidR="002023AA">
        <w:rPr>
          <w:sz w:val="22"/>
          <w:szCs w:val="22"/>
          <w:lang w:val="en-GB"/>
        </w:rPr>
        <w:t>,</w:t>
      </w:r>
      <w:r w:rsidR="00C4789E">
        <w:rPr>
          <w:sz w:val="22"/>
          <w:szCs w:val="22"/>
          <w:lang w:val="en-GB"/>
        </w:rPr>
        <w:t xml:space="preserve"> </w:t>
      </w:r>
      <w:r>
        <w:rPr>
          <w:sz w:val="22"/>
          <w:szCs w:val="22"/>
          <w:lang w:val="en-GB"/>
        </w:rPr>
        <w:t xml:space="preserve">the uplink subframe </w:t>
      </w:r>
      <w:r w:rsidR="002023AA">
        <w:rPr>
          <w:sz w:val="22"/>
          <w:szCs w:val="22"/>
          <w:lang w:val="en-GB"/>
        </w:rPr>
        <w:t>with additional SRS symbol may or may not contain the legacy SRS</w:t>
      </w:r>
      <w:r w:rsidR="00C14BA0">
        <w:rPr>
          <w:sz w:val="22"/>
          <w:szCs w:val="22"/>
          <w:lang w:val="en-GB"/>
        </w:rPr>
        <w:t xml:space="preserve"> transmission</w:t>
      </w:r>
      <w:r w:rsidR="002023AA">
        <w:rPr>
          <w:sz w:val="22"/>
          <w:szCs w:val="22"/>
          <w:lang w:val="en-GB"/>
        </w:rPr>
        <w:t>. Considering that transmission of additional and legacy SRS are in</w:t>
      </w:r>
      <w:r w:rsidR="00C4789E">
        <w:rPr>
          <w:sz w:val="22"/>
          <w:szCs w:val="22"/>
          <w:lang w:val="en-GB"/>
        </w:rPr>
        <w:t>depend</w:t>
      </w:r>
      <w:r w:rsidR="002023AA">
        <w:rPr>
          <w:sz w:val="22"/>
          <w:szCs w:val="22"/>
          <w:lang w:val="en-GB"/>
        </w:rPr>
        <w:t>ent,</w:t>
      </w:r>
      <w:r w:rsidR="00664EA5">
        <w:rPr>
          <w:sz w:val="22"/>
          <w:szCs w:val="22"/>
          <w:lang w:val="en-GB"/>
        </w:rPr>
        <w:t xml:space="preserve"> the overall SRS transmission pattern becomes irregular. It is therefore</w:t>
      </w:r>
      <w:r w:rsidR="002023AA">
        <w:rPr>
          <w:sz w:val="22"/>
          <w:szCs w:val="22"/>
          <w:lang w:val="en-GB"/>
        </w:rPr>
        <w:t xml:space="preserve"> natural to decouple frequency hopping patterns for additional SRS symbol and periodic legacy SRS</w:t>
      </w:r>
      <w:r w:rsidR="00C14BA0">
        <w:rPr>
          <w:sz w:val="22"/>
          <w:szCs w:val="22"/>
          <w:lang w:val="en-GB"/>
        </w:rPr>
        <w:t>.</w:t>
      </w:r>
    </w:p>
    <w:p w14:paraId="764955B1" w14:textId="77777777" w:rsidR="002023AA" w:rsidRDefault="002023AA" w:rsidP="00A361CF">
      <w:pPr>
        <w:jc w:val="both"/>
        <w:rPr>
          <w:sz w:val="22"/>
          <w:szCs w:val="22"/>
          <w:lang w:val="en-GB"/>
        </w:rPr>
      </w:pPr>
    </w:p>
    <w:p w14:paraId="7002F02D" w14:textId="58B72A84" w:rsidR="00664EA5" w:rsidRPr="00664EA5" w:rsidRDefault="002023AA" w:rsidP="002023AA">
      <w:pPr>
        <w:pStyle w:val="LGTdoc1"/>
        <w:spacing w:beforeLines="0" w:after="120" w:afterAutospacing="0"/>
        <w:rPr>
          <w:rFonts w:eastAsia="SimSun"/>
          <w:b w:val="0"/>
          <w:i/>
          <w:snapToGrid/>
          <w:sz w:val="22"/>
          <w:szCs w:val="22"/>
          <w:lang w:eastAsia="en-US"/>
        </w:rPr>
      </w:pPr>
      <w:r w:rsidRPr="00C4789E">
        <w:rPr>
          <w:rFonts w:eastAsia="SimSun"/>
          <w:i/>
          <w:snapToGrid/>
          <w:sz w:val="22"/>
          <w:szCs w:val="22"/>
          <w:lang w:eastAsia="en-US"/>
        </w:rPr>
        <w:t>Proposal</w:t>
      </w:r>
      <w:r w:rsidR="00C14BA0">
        <w:rPr>
          <w:rFonts w:eastAsia="SimSun"/>
          <w:i/>
          <w:snapToGrid/>
          <w:sz w:val="22"/>
          <w:szCs w:val="22"/>
          <w:lang w:eastAsia="en-US"/>
        </w:rPr>
        <w:t xml:space="preserve"> 3</w:t>
      </w:r>
      <w:r w:rsidRPr="00C4789E">
        <w:rPr>
          <w:rFonts w:eastAsia="SimSun"/>
          <w:b w:val="0"/>
          <w:i/>
          <w:snapToGrid/>
          <w:sz w:val="22"/>
          <w:szCs w:val="22"/>
          <w:lang w:eastAsia="en-US"/>
        </w:rPr>
        <w:t xml:space="preserve">: </w:t>
      </w:r>
      <w:r>
        <w:rPr>
          <w:rFonts w:eastAsia="SimSun"/>
          <w:b w:val="0"/>
          <w:i/>
          <w:snapToGrid/>
          <w:sz w:val="22"/>
          <w:szCs w:val="22"/>
          <w:lang w:eastAsia="en-US"/>
        </w:rPr>
        <w:t xml:space="preserve">The frequency hopping patterns for the legacy </w:t>
      </w:r>
      <w:r w:rsidR="00C14BA0">
        <w:rPr>
          <w:rFonts w:eastAsia="SimSun"/>
          <w:b w:val="0"/>
          <w:i/>
          <w:snapToGrid/>
          <w:sz w:val="22"/>
          <w:szCs w:val="22"/>
          <w:lang w:eastAsia="en-US"/>
        </w:rPr>
        <w:t xml:space="preserve">periodic SRS </w:t>
      </w:r>
      <w:r>
        <w:rPr>
          <w:rFonts w:eastAsia="SimSun"/>
          <w:b w:val="0"/>
          <w:i/>
          <w:snapToGrid/>
          <w:sz w:val="22"/>
          <w:szCs w:val="22"/>
          <w:lang w:eastAsia="en-US"/>
        </w:rPr>
        <w:t xml:space="preserve">and additional </w:t>
      </w:r>
      <w:r w:rsidR="00C14BA0">
        <w:rPr>
          <w:rFonts w:eastAsia="SimSun"/>
          <w:b w:val="0"/>
          <w:i/>
          <w:snapToGrid/>
          <w:sz w:val="22"/>
          <w:szCs w:val="22"/>
          <w:lang w:eastAsia="en-US"/>
        </w:rPr>
        <w:t xml:space="preserve">aperiodic </w:t>
      </w:r>
      <w:r w:rsidR="00664EA5">
        <w:rPr>
          <w:rFonts w:eastAsia="SimSun"/>
          <w:b w:val="0"/>
          <w:i/>
          <w:snapToGrid/>
          <w:sz w:val="22"/>
          <w:szCs w:val="22"/>
          <w:lang w:eastAsia="en-US"/>
        </w:rPr>
        <w:t>SRS are independently defined</w:t>
      </w:r>
    </w:p>
    <w:p w14:paraId="1438C195" w14:textId="77777777" w:rsidR="00053636" w:rsidRDefault="00053636" w:rsidP="00053636">
      <w:pPr>
        <w:pStyle w:val="Heading1"/>
      </w:pPr>
      <w:r>
        <w:t>4. SRS power control</w:t>
      </w:r>
    </w:p>
    <w:tbl>
      <w:tblPr>
        <w:tblStyle w:val="TableGrid"/>
        <w:tblW w:w="0" w:type="auto"/>
        <w:tblLook w:val="04A0" w:firstRow="1" w:lastRow="0" w:firstColumn="1" w:lastColumn="0" w:noHBand="0" w:noVBand="1"/>
      </w:tblPr>
      <w:tblGrid>
        <w:gridCol w:w="10160"/>
      </w:tblGrid>
      <w:tr w:rsidR="00053636" w:rsidRPr="006A0872" w14:paraId="164D0604" w14:textId="77777777" w:rsidTr="007D1D25">
        <w:tc>
          <w:tcPr>
            <w:tcW w:w="10160" w:type="dxa"/>
          </w:tcPr>
          <w:p w14:paraId="1186A4AA" w14:textId="77777777" w:rsidR="00053636" w:rsidRPr="006A0872" w:rsidRDefault="00053636" w:rsidP="007D1D25">
            <w:pPr>
              <w:spacing w:before="0" w:line="240" w:lineRule="auto"/>
              <w:rPr>
                <w:rFonts w:eastAsia="Malgun Gothic"/>
                <w:b/>
                <w:szCs w:val="20"/>
                <w:highlight w:val="green"/>
                <w:lang w:eastAsia="zh-CN"/>
              </w:rPr>
            </w:pPr>
            <w:r w:rsidRPr="006A0872">
              <w:rPr>
                <w:rFonts w:eastAsia="Malgun Gothic"/>
                <w:b/>
                <w:szCs w:val="20"/>
                <w:highlight w:val="green"/>
                <w:lang w:eastAsia="zh-CN"/>
              </w:rPr>
              <w:t xml:space="preserve">Agreement </w:t>
            </w:r>
          </w:p>
          <w:p w14:paraId="7567CEB8" w14:textId="77777777" w:rsidR="00053636" w:rsidRPr="006A0872" w:rsidRDefault="00053636" w:rsidP="007D1D25">
            <w:pPr>
              <w:spacing w:before="0" w:line="240" w:lineRule="auto"/>
              <w:rPr>
                <w:rFonts w:eastAsia="Malgun Gothic"/>
                <w:szCs w:val="20"/>
                <w:lang w:eastAsia="zh-CN"/>
              </w:rPr>
            </w:pPr>
            <w:r w:rsidRPr="006A0872">
              <w:rPr>
                <w:rFonts w:eastAsia="Malgun Gothic"/>
                <w:szCs w:val="20"/>
                <w:lang w:eastAsia="zh-CN"/>
              </w:rPr>
              <w:t>At least for the case where there no legacy SRS transmission on the subframe, at least independent open loop power control of additional SRS symbols from legacy SRS symbols is supported.</w:t>
            </w:r>
          </w:p>
          <w:p w14:paraId="2A725531" w14:textId="77777777" w:rsidR="00053636" w:rsidRPr="006A0872" w:rsidRDefault="00053636" w:rsidP="007D1D25">
            <w:pPr>
              <w:pStyle w:val="ListParagraph"/>
              <w:numPr>
                <w:ilvl w:val="0"/>
                <w:numId w:val="34"/>
              </w:numPr>
              <w:overflowPunct w:val="0"/>
              <w:autoSpaceDE w:val="0"/>
              <w:autoSpaceDN w:val="0"/>
              <w:adjustRightInd w:val="0"/>
              <w:spacing w:before="0" w:line="240" w:lineRule="auto"/>
              <w:ind w:left="720" w:hanging="320"/>
              <w:contextualSpacing/>
              <w:textAlignment w:val="baseline"/>
              <w:rPr>
                <w:rFonts w:ascii="Times New Roman" w:eastAsia="Malgun Gothic" w:hAnsi="Times New Roman"/>
                <w:sz w:val="20"/>
                <w:szCs w:val="20"/>
                <w:lang w:eastAsia="zh-CN"/>
              </w:rPr>
            </w:pPr>
            <w:r w:rsidRPr="006A0872">
              <w:rPr>
                <w:rFonts w:ascii="Times New Roman" w:eastAsia="Malgun Gothic" w:hAnsi="Times New Roman"/>
                <w:sz w:val="20"/>
                <w:szCs w:val="20"/>
                <w:lang w:eastAsia="zh-CN"/>
              </w:rPr>
              <w:t>Further study the power control for SRS symbols when additional and legacy SRS symbols are transmitted in the same subframe.</w:t>
            </w:r>
          </w:p>
          <w:p w14:paraId="7F3B0573" w14:textId="77777777" w:rsidR="00053636" w:rsidRPr="006A0872" w:rsidRDefault="00053636" w:rsidP="007D1D25">
            <w:pPr>
              <w:pStyle w:val="ListParagraph"/>
              <w:numPr>
                <w:ilvl w:val="0"/>
                <w:numId w:val="34"/>
              </w:numPr>
              <w:overflowPunct w:val="0"/>
              <w:autoSpaceDE w:val="0"/>
              <w:autoSpaceDN w:val="0"/>
              <w:adjustRightInd w:val="0"/>
              <w:spacing w:before="0" w:line="240" w:lineRule="auto"/>
              <w:ind w:left="720" w:hanging="320"/>
              <w:contextualSpacing/>
              <w:textAlignment w:val="baseline"/>
              <w:rPr>
                <w:rFonts w:ascii="Times New Roman" w:eastAsia="Malgun Gothic" w:hAnsi="Times New Roman"/>
                <w:sz w:val="20"/>
                <w:szCs w:val="20"/>
                <w:lang w:eastAsia="zh-CN"/>
              </w:rPr>
            </w:pPr>
            <w:r w:rsidRPr="006A0872">
              <w:rPr>
                <w:rFonts w:ascii="Times New Roman" w:eastAsia="Malgun Gothic" w:hAnsi="Times New Roman"/>
                <w:sz w:val="20"/>
                <w:szCs w:val="20"/>
                <w:lang w:eastAsia="zh-CN"/>
              </w:rPr>
              <w:t>FFS: independent closed loop</w:t>
            </w:r>
          </w:p>
        </w:tc>
      </w:tr>
    </w:tbl>
    <w:p w14:paraId="23EC7709" w14:textId="77777777" w:rsidR="00053636" w:rsidRPr="006A0872" w:rsidRDefault="00053636" w:rsidP="00053636">
      <w:pPr>
        <w:rPr>
          <w:b/>
          <w:i/>
          <w:szCs w:val="20"/>
        </w:rPr>
      </w:pPr>
    </w:p>
    <w:p w14:paraId="419F54DC" w14:textId="58B451AB" w:rsidR="00053636" w:rsidRPr="00441D22" w:rsidRDefault="00441D22" w:rsidP="00053636">
      <w:pPr>
        <w:jc w:val="both"/>
        <w:rPr>
          <w:sz w:val="22"/>
          <w:szCs w:val="22"/>
          <w:lang w:val="en-GB"/>
        </w:rPr>
      </w:pPr>
      <w:r>
        <w:rPr>
          <w:sz w:val="22"/>
          <w:szCs w:val="22"/>
          <w:lang w:val="en-GB"/>
        </w:rPr>
        <w:t xml:space="preserve">According to the agreement from RAN1#97 meeting, the </w:t>
      </w:r>
      <w:r w:rsidR="00C14BA0">
        <w:rPr>
          <w:sz w:val="22"/>
          <w:szCs w:val="22"/>
          <w:lang w:val="en-GB"/>
        </w:rPr>
        <w:t xml:space="preserve">open loop power control for additional and legacy SRS is independent. </w:t>
      </w:r>
      <w:r w:rsidR="00053636" w:rsidRPr="00441D22">
        <w:rPr>
          <w:sz w:val="22"/>
          <w:szCs w:val="22"/>
          <w:lang w:val="en-GB"/>
        </w:rPr>
        <w:t>On the other hand, when additional and legacy SRS are simultaneously present in the same subframe, independent power control configurations could make joint processing of received SRS at eNB not feasible due to ambiguity in the power control settings. Therefore, it is necessarily to fallback to the common (e.g. legacy)</w:t>
      </w:r>
      <w:r w:rsidR="00C14BA0">
        <w:rPr>
          <w:sz w:val="22"/>
          <w:szCs w:val="22"/>
          <w:lang w:val="en-GB"/>
        </w:rPr>
        <w:t xml:space="preserve"> power control if both legacy and additional SRS are triggered in the same subframe.</w:t>
      </w:r>
    </w:p>
    <w:p w14:paraId="1887456E" w14:textId="77777777" w:rsidR="00053636" w:rsidRPr="00441D22" w:rsidRDefault="00053636" w:rsidP="00053636">
      <w:pPr>
        <w:rPr>
          <w:b/>
          <w:i/>
          <w:sz w:val="22"/>
          <w:szCs w:val="22"/>
          <w:lang w:val="en-GB"/>
        </w:rPr>
      </w:pPr>
    </w:p>
    <w:p w14:paraId="187F47B5" w14:textId="4BADA41C" w:rsidR="00053636" w:rsidRDefault="00053636" w:rsidP="00053636">
      <w:pPr>
        <w:jc w:val="both"/>
        <w:rPr>
          <w:i/>
          <w:sz w:val="22"/>
          <w:szCs w:val="22"/>
        </w:rPr>
      </w:pPr>
      <w:r w:rsidRPr="00441D22">
        <w:rPr>
          <w:b/>
          <w:i/>
          <w:sz w:val="22"/>
          <w:szCs w:val="22"/>
        </w:rPr>
        <w:t>Proposal</w:t>
      </w:r>
      <w:r w:rsidR="00C14BA0">
        <w:rPr>
          <w:b/>
          <w:i/>
          <w:sz w:val="22"/>
          <w:szCs w:val="22"/>
        </w:rPr>
        <w:t xml:space="preserve"> 4</w:t>
      </w:r>
      <w:r w:rsidRPr="00441D22">
        <w:rPr>
          <w:b/>
          <w:i/>
          <w:sz w:val="22"/>
          <w:szCs w:val="22"/>
        </w:rPr>
        <w:t xml:space="preserve">: </w:t>
      </w:r>
      <w:r w:rsidRPr="00441D22">
        <w:rPr>
          <w:i/>
          <w:sz w:val="22"/>
          <w:szCs w:val="22"/>
        </w:rPr>
        <w:t xml:space="preserve">If independent power control is used for SRS, for the subframe where legacy and additional SRS are </w:t>
      </w:r>
      <w:r w:rsidR="00C14BA0">
        <w:rPr>
          <w:i/>
          <w:sz w:val="22"/>
          <w:szCs w:val="22"/>
        </w:rPr>
        <w:t>triggered</w:t>
      </w:r>
      <w:r w:rsidRPr="00441D22">
        <w:rPr>
          <w:i/>
          <w:sz w:val="22"/>
          <w:szCs w:val="22"/>
        </w:rPr>
        <w:t>, all SRS symbols transmission should follow the same power control configurations corresponding to legacy SRS to facilitate joint processing at eNB</w:t>
      </w:r>
      <w:r w:rsidR="00664EA5">
        <w:rPr>
          <w:i/>
          <w:sz w:val="22"/>
          <w:szCs w:val="22"/>
        </w:rPr>
        <w:t xml:space="preserve"> and avoid transient period</w:t>
      </w:r>
      <w:r w:rsidRPr="00441D22">
        <w:rPr>
          <w:i/>
          <w:sz w:val="22"/>
          <w:szCs w:val="22"/>
        </w:rPr>
        <w:t>.</w:t>
      </w:r>
    </w:p>
    <w:p w14:paraId="6DF52FE0" w14:textId="79CDF6BC" w:rsidR="00C14BA0" w:rsidRDefault="00C14BA0" w:rsidP="00C14BA0">
      <w:pPr>
        <w:pStyle w:val="Heading1"/>
      </w:pPr>
      <w:r>
        <w:t>4. Multiplexing of SRS and physical channels</w:t>
      </w:r>
    </w:p>
    <w:tbl>
      <w:tblPr>
        <w:tblStyle w:val="TableGrid"/>
        <w:tblW w:w="0" w:type="auto"/>
        <w:tblLook w:val="04A0" w:firstRow="1" w:lastRow="0" w:firstColumn="1" w:lastColumn="0" w:noHBand="0" w:noVBand="1"/>
      </w:tblPr>
      <w:tblGrid>
        <w:gridCol w:w="10160"/>
      </w:tblGrid>
      <w:tr w:rsidR="00C14BA0" w:rsidRPr="006A0872" w14:paraId="447D92AA" w14:textId="77777777" w:rsidTr="007D1D25">
        <w:tc>
          <w:tcPr>
            <w:tcW w:w="10160" w:type="dxa"/>
          </w:tcPr>
          <w:p w14:paraId="36F1A004" w14:textId="77777777" w:rsidR="00C14BA0" w:rsidRPr="00C14BA0" w:rsidRDefault="00C14BA0" w:rsidP="00C14BA0">
            <w:pPr>
              <w:spacing w:line="240" w:lineRule="auto"/>
              <w:rPr>
                <w:b/>
                <w:sz w:val="22"/>
                <w:szCs w:val="22"/>
                <w:highlight w:val="green"/>
              </w:rPr>
            </w:pPr>
            <w:r w:rsidRPr="00C14BA0">
              <w:rPr>
                <w:b/>
                <w:sz w:val="22"/>
                <w:szCs w:val="22"/>
                <w:highlight w:val="green"/>
              </w:rPr>
              <w:t>Agreement</w:t>
            </w:r>
          </w:p>
          <w:p w14:paraId="6E949B88" w14:textId="77777777" w:rsidR="00C14BA0" w:rsidRPr="00C14BA0" w:rsidRDefault="00C14BA0" w:rsidP="00C14BA0">
            <w:pPr>
              <w:spacing w:line="240" w:lineRule="auto"/>
              <w:rPr>
                <w:sz w:val="22"/>
                <w:szCs w:val="22"/>
              </w:rPr>
            </w:pPr>
            <w:r w:rsidRPr="00C14BA0">
              <w:rPr>
                <w:sz w:val="22"/>
                <w:szCs w:val="22"/>
              </w:rPr>
              <w:t xml:space="preserve">For the handling of </w:t>
            </w:r>
            <w:r w:rsidRPr="00C14BA0">
              <w:rPr>
                <w:rFonts w:eastAsia="Malgun Gothic"/>
                <w:sz w:val="22"/>
                <w:szCs w:val="22"/>
                <w:lang w:eastAsia="zh-CN"/>
              </w:rPr>
              <w:t>collision of SRS and PUCCH/PUSCH transmission, downselect from the following in RAN1#98</w:t>
            </w:r>
          </w:p>
          <w:p w14:paraId="561FA7B1" w14:textId="77777777" w:rsidR="00C14BA0" w:rsidRPr="00C14BA0" w:rsidRDefault="00C14BA0" w:rsidP="00C14BA0">
            <w:pPr>
              <w:pStyle w:val="ListParagraph"/>
              <w:numPr>
                <w:ilvl w:val="0"/>
                <w:numId w:val="34"/>
              </w:numPr>
              <w:overflowPunct w:val="0"/>
              <w:autoSpaceDE w:val="0"/>
              <w:autoSpaceDN w:val="0"/>
              <w:adjustRightInd w:val="0"/>
              <w:spacing w:line="240" w:lineRule="auto"/>
              <w:ind w:left="720" w:hanging="320"/>
              <w:contextualSpacing/>
              <w:textAlignment w:val="baseline"/>
              <w:rPr>
                <w:rFonts w:ascii="Times New Roman" w:eastAsia="Malgun Gothic" w:hAnsi="Times New Roman"/>
                <w:lang w:eastAsia="zh-CN"/>
              </w:rPr>
            </w:pPr>
            <w:r w:rsidRPr="00C14BA0">
              <w:rPr>
                <w:rFonts w:ascii="Times New Roman" w:eastAsia="Malgun Gothic" w:hAnsi="Times New Roman"/>
                <w:lang w:eastAsia="zh-CN"/>
              </w:rPr>
              <w:t>Alt1: Use sPUSCH and/or sPUCCH</w:t>
            </w:r>
          </w:p>
          <w:p w14:paraId="177111BC" w14:textId="77777777" w:rsidR="00C14BA0" w:rsidRPr="00C14BA0" w:rsidRDefault="00C14BA0" w:rsidP="00C14BA0">
            <w:pPr>
              <w:pStyle w:val="ListParagraph"/>
              <w:numPr>
                <w:ilvl w:val="1"/>
                <w:numId w:val="34"/>
              </w:numPr>
              <w:overflowPunct w:val="0"/>
              <w:autoSpaceDE w:val="0"/>
              <w:autoSpaceDN w:val="0"/>
              <w:adjustRightInd w:val="0"/>
              <w:spacing w:line="240" w:lineRule="auto"/>
              <w:contextualSpacing/>
              <w:textAlignment w:val="baseline"/>
              <w:rPr>
                <w:rFonts w:ascii="Times New Roman" w:eastAsia="Malgun Gothic" w:hAnsi="Times New Roman"/>
                <w:lang w:eastAsia="zh-CN"/>
              </w:rPr>
            </w:pPr>
            <w:r w:rsidRPr="00C14BA0">
              <w:rPr>
                <w:rFonts w:ascii="Times New Roman" w:eastAsia="Malgun Gothic" w:hAnsi="Times New Roman"/>
                <w:lang w:eastAsia="zh-CN"/>
              </w:rPr>
              <w:t>Introduce sPUSCH and/or sPUCCH capability for Rel-16 UEs to enable sPUSCH and/or sPUCCH transmission in the SRS subframe.</w:t>
            </w:r>
          </w:p>
          <w:p w14:paraId="67C22A5E" w14:textId="77777777" w:rsidR="00C14BA0" w:rsidRPr="00C14BA0" w:rsidRDefault="00C14BA0" w:rsidP="00C14BA0">
            <w:pPr>
              <w:pStyle w:val="ListParagraph"/>
              <w:numPr>
                <w:ilvl w:val="1"/>
                <w:numId w:val="34"/>
              </w:numPr>
              <w:overflowPunct w:val="0"/>
              <w:autoSpaceDE w:val="0"/>
              <w:autoSpaceDN w:val="0"/>
              <w:adjustRightInd w:val="0"/>
              <w:spacing w:line="240" w:lineRule="auto"/>
              <w:contextualSpacing/>
              <w:textAlignment w:val="baseline"/>
              <w:rPr>
                <w:rFonts w:ascii="Times New Roman" w:eastAsia="Malgun Gothic" w:hAnsi="Times New Roman"/>
                <w:lang w:eastAsia="zh-CN"/>
              </w:rPr>
            </w:pPr>
            <w:r w:rsidRPr="00C14BA0">
              <w:rPr>
                <w:rFonts w:ascii="Times New Roman" w:eastAsia="Malgun Gothic" w:hAnsi="Times New Roman"/>
                <w:lang w:eastAsia="zh-CN"/>
              </w:rPr>
              <w:t>Multiplexing of sTTI on same subframe and same PRBs with additional SRS on symbols where SRS is not transmitted is supported</w:t>
            </w:r>
          </w:p>
          <w:p w14:paraId="1EE04685" w14:textId="77777777" w:rsidR="00C14BA0" w:rsidRPr="00C14BA0" w:rsidRDefault="00C14BA0" w:rsidP="00C14BA0">
            <w:pPr>
              <w:pStyle w:val="ListParagraph"/>
              <w:numPr>
                <w:ilvl w:val="0"/>
                <w:numId w:val="34"/>
              </w:numPr>
              <w:overflowPunct w:val="0"/>
              <w:autoSpaceDE w:val="0"/>
              <w:autoSpaceDN w:val="0"/>
              <w:adjustRightInd w:val="0"/>
              <w:spacing w:line="240" w:lineRule="auto"/>
              <w:ind w:left="720" w:hanging="320"/>
              <w:contextualSpacing/>
              <w:textAlignment w:val="baseline"/>
              <w:rPr>
                <w:rFonts w:ascii="Times New Roman" w:eastAsia="Malgun Gothic" w:hAnsi="Times New Roman"/>
                <w:lang w:eastAsia="zh-CN"/>
              </w:rPr>
            </w:pPr>
            <w:r w:rsidRPr="00C14BA0">
              <w:rPr>
                <w:rFonts w:ascii="Times New Roman" w:eastAsia="Malgun Gothic" w:hAnsi="Times New Roman"/>
                <w:lang w:eastAsia="zh-CN"/>
              </w:rPr>
              <w:t>Alt2: UE drops or delays SRS transmission in the additional symbols if the SRS collides with PUCCH/PUSCH/PRACH in the same carrier</w:t>
            </w:r>
          </w:p>
          <w:p w14:paraId="1CFE2526" w14:textId="77777777" w:rsidR="00C14BA0" w:rsidRPr="00C14BA0" w:rsidRDefault="00C14BA0" w:rsidP="00C14BA0">
            <w:pPr>
              <w:pStyle w:val="ListParagraph"/>
              <w:numPr>
                <w:ilvl w:val="1"/>
                <w:numId w:val="34"/>
              </w:numPr>
              <w:overflowPunct w:val="0"/>
              <w:autoSpaceDE w:val="0"/>
              <w:autoSpaceDN w:val="0"/>
              <w:adjustRightInd w:val="0"/>
              <w:spacing w:line="240" w:lineRule="auto"/>
              <w:contextualSpacing/>
              <w:textAlignment w:val="baseline"/>
              <w:rPr>
                <w:rFonts w:ascii="Times New Roman" w:eastAsia="Malgun Gothic" w:hAnsi="Times New Roman"/>
                <w:lang w:eastAsia="zh-CN"/>
              </w:rPr>
            </w:pPr>
            <w:r w:rsidRPr="00C14BA0">
              <w:rPr>
                <w:rFonts w:ascii="Times New Roman" w:eastAsia="Malgun Gothic" w:hAnsi="Times New Roman"/>
                <w:lang w:eastAsia="zh-CN"/>
              </w:rPr>
              <w:t>Choose between drop and delay</w:t>
            </w:r>
          </w:p>
          <w:p w14:paraId="5CE3EB8F" w14:textId="77777777" w:rsidR="00C14BA0" w:rsidRPr="00C14BA0" w:rsidRDefault="00C14BA0" w:rsidP="00C14BA0">
            <w:pPr>
              <w:pStyle w:val="ListParagraph"/>
              <w:numPr>
                <w:ilvl w:val="0"/>
                <w:numId w:val="34"/>
              </w:numPr>
              <w:overflowPunct w:val="0"/>
              <w:autoSpaceDE w:val="0"/>
              <w:autoSpaceDN w:val="0"/>
              <w:adjustRightInd w:val="0"/>
              <w:spacing w:line="240" w:lineRule="auto"/>
              <w:ind w:left="720" w:hanging="320"/>
              <w:contextualSpacing/>
              <w:textAlignment w:val="baseline"/>
              <w:rPr>
                <w:rFonts w:ascii="Times New Roman" w:eastAsia="Malgun Gothic" w:hAnsi="Times New Roman"/>
                <w:lang w:eastAsia="zh-CN"/>
              </w:rPr>
            </w:pPr>
            <w:r w:rsidRPr="00C14BA0">
              <w:rPr>
                <w:rFonts w:ascii="Times New Roman" w:eastAsia="Malgun Gothic" w:hAnsi="Times New Roman"/>
                <w:lang w:eastAsia="zh-CN"/>
              </w:rPr>
              <w:t>Alt3: UE does not expect to be triggered with aperiodic SRS in the additional symbols of the SRS collides PUCCH/PUSCH/PRACH in the same carrier</w:t>
            </w:r>
          </w:p>
          <w:p w14:paraId="2ED0B51A" w14:textId="77777777" w:rsidR="00C14BA0" w:rsidRPr="00C14BA0" w:rsidRDefault="00C14BA0" w:rsidP="00C14BA0">
            <w:pPr>
              <w:pStyle w:val="ListParagraph"/>
              <w:numPr>
                <w:ilvl w:val="1"/>
                <w:numId w:val="34"/>
              </w:numPr>
              <w:overflowPunct w:val="0"/>
              <w:autoSpaceDE w:val="0"/>
              <w:autoSpaceDN w:val="0"/>
              <w:adjustRightInd w:val="0"/>
              <w:spacing w:line="240" w:lineRule="auto"/>
              <w:contextualSpacing/>
              <w:textAlignment w:val="baseline"/>
              <w:rPr>
                <w:rFonts w:ascii="Times New Roman" w:eastAsia="Malgun Gothic" w:hAnsi="Times New Roman"/>
                <w:lang w:eastAsia="zh-CN"/>
              </w:rPr>
            </w:pPr>
            <w:r w:rsidRPr="00C14BA0">
              <w:rPr>
                <w:rFonts w:ascii="Times New Roman" w:eastAsia="Malgun Gothic" w:hAnsi="Times New Roman"/>
                <w:lang w:eastAsia="zh-CN"/>
              </w:rPr>
              <w:lastRenderedPageBreak/>
              <w:t>FFS: Collision on interband-CA, intraband-CA</w:t>
            </w:r>
          </w:p>
          <w:p w14:paraId="7A4BAECB" w14:textId="543B1629" w:rsidR="00C14BA0" w:rsidRPr="00C14BA0" w:rsidRDefault="00C14BA0" w:rsidP="00C14BA0">
            <w:pPr>
              <w:pStyle w:val="ListParagraph"/>
              <w:numPr>
                <w:ilvl w:val="0"/>
                <w:numId w:val="34"/>
              </w:numPr>
              <w:overflowPunct w:val="0"/>
              <w:autoSpaceDE w:val="0"/>
              <w:autoSpaceDN w:val="0"/>
              <w:adjustRightInd w:val="0"/>
              <w:spacing w:line="240" w:lineRule="auto"/>
              <w:ind w:left="720" w:hanging="320"/>
              <w:contextualSpacing/>
              <w:textAlignment w:val="baseline"/>
              <w:rPr>
                <w:rFonts w:eastAsia="Malgun Gothic"/>
                <w:lang w:eastAsia="zh-CN"/>
              </w:rPr>
            </w:pPr>
            <w:r w:rsidRPr="00C14BA0">
              <w:rPr>
                <w:rFonts w:ascii="Times New Roman" w:eastAsia="Malgun Gothic" w:hAnsi="Times New Roman"/>
                <w:lang w:eastAsia="zh-CN"/>
              </w:rPr>
              <w:t>Alt4: It is up to eNB/UE implementation</w:t>
            </w:r>
          </w:p>
        </w:tc>
      </w:tr>
    </w:tbl>
    <w:p w14:paraId="20705369" w14:textId="77777777" w:rsidR="00C14BA0" w:rsidRPr="006A0872" w:rsidRDefault="00C14BA0" w:rsidP="00C14BA0">
      <w:pPr>
        <w:rPr>
          <w:b/>
          <w:i/>
          <w:szCs w:val="20"/>
        </w:rPr>
      </w:pPr>
    </w:p>
    <w:p w14:paraId="103C99D8" w14:textId="1D669E9D" w:rsidR="00C14BA0" w:rsidRPr="00441D22" w:rsidRDefault="00C14BA0" w:rsidP="00C14BA0">
      <w:pPr>
        <w:jc w:val="both"/>
        <w:rPr>
          <w:sz w:val="22"/>
          <w:szCs w:val="22"/>
          <w:lang w:val="en-GB"/>
        </w:rPr>
      </w:pPr>
      <w:r>
        <w:rPr>
          <w:sz w:val="22"/>
          <w:szCs w:val="22"/>
          <w:lang w:val="en-GB"/>
        </w:rPr>
        <w:t>According to the agreement from RAN1#97 meeting, four alternative</w:t>
      </w:r>
      <w:r w:rsidR="00664EA5">
        <w:rPr>
          <w:sz w:val="22"/>
          <w:szCs w:val="22"/>
          <w:lang w:val="en-GB"/>
        </w:rPr>
        <w:t>s</w:t>
      </w:r>
      <w:r>
        <w:rPr>
          <w:sz w:val="22"/>
          <w:szCs w:val="22"/>
          <w:lang w:val="en-GB"/>
        </w:rPr>
        <w:t xml:space="preserve"> were identified to support </w:t>
      </w:r>
      <w:r w:rsidR="00D61953">
        <w:rPr>
          <w:sz w:val="22"/>
          <w:szCs w:val="22"/>
          <w:lang w:val="en-GB"/>
        </w:rPr>
        <w:t>transmission of</w:t>
      </w:r>
      <w:r>
        <w:rPr>
          <w:sz w:val="22"/>
          <w:szCs w:val="22"/>
          <w:lang w:val="en-GB"/>
        </w:rPr>
        <w:t xml:space="preserve"> </w:t>
      </w:r>
      <w:r w:rsidR="00D61953">
        <w:rPr>
          <w:sz w:val="22"/>
          <w:szCs w:val="22"/>
          <w:lang w:val="en-GB"/>
        </w:rPr>
        <w:t>the</w:t>
      </w:r>
      <w:r>
        <w:rPr>
          <w:sz w:val="22"/>
          <w:szCs w:val="22"/>
          <w:lang w:val="en-GB"/>
        </w:rPr>
        <w:t xml:space="preserve"> additional SRS with other uplink transmissions</w:t>
      </w:r>
      <w:r w:rsidR="00D61953">
        <w:rPr>
          <w:sz w:val="22"/>
          <w:szCs w:val="22"/>
          <w:lang w:val="en-GB"/>
        </w:rPr>
        <w:t xml:space="preserve"> in the same subframe</w:t>
      </w:r>
      <w:r>
        <w:rPr>
          <w:sz w:val="22"/>
          <w:szCs w:val="22"/>
          <w:lang w:val="en-GB"/>
        </w:rPr>
        <w:t>.</w:t>
      </w:r>
      <w:r w:rsidR="00D61953">
        <w:rPr>
          <w:sz w:val="22"/>
          <w:szCs w:val="22"/>
          <w:lang w:val="en-GB"/>
        </w:rPr>
        <w:t xml:space="preserve"> Among four alternative, the first three has specification impact in RAN1.</w:t>
      </w:r>
      <w:r>
        <w:rPr>
          <w:sz w:val="22"/>
          <w:szCs w:val="22"/>
          <w:lang w:val="en-GB"/>
        </w:rPr>
        <w:t xml:space="preserve"> </w:t>
      </w:r>
      <w:r w:rsidR="00D61953">
        <w:rPr>
          <w:sz w:val="22"/>
          <w:szCs w:val="22"/>
          <w:lang w:val="en-GB"/>
        </w:rPr>
        <w:t xml:space="preserve">In the first alternative simultaneous transmission of SRS and other physical channel is achieved by using </w:t>
      </w:r>
      <w:r w:rsidR="00664EA5">
        <w:rPr>
          <w:sz w:val="22"/>
          <w:szCs w:val="22"/>
          <w:lang w:val="en-GB"/>
        </w:rPr>
        <w:t xml:space="preserve">subslot transmission of PUSCH and PUCCH with </w:t>
      </w:r>
      <w:r w:rsidR="00D61953">
        <w:rPr>
          <w:sz w:val="22"/>
          <w:szCs w:val="22"/>
          <w:lang w:val="en-GB"/>
        </w:rPr>
        <w:t xml:space="preserve">TDM multiplexing </w:t>
      </w:r>
      <w:r w:rsidR="00664EA5">
        <w:rPr>
          <w:sz w:val="22"/>
          <w:szCs w:val="22"/>
          <w:lang w:val="en-GB"/>
        </w:rPr>
        <w:t>with additional</w:t>
      </w:r>
      <w:r w:rsidR="00D61953">
        <w:rPr>
          <w:sz w:val="22"/>
          <w:szCs w:val="22"/>
          <w:lang w:val="en-GB"/>
        </w:rPr>
        <w:t xml:space="preserve"> SRS </w:t>
      </w:r>
      <w:r w:rsidR="00664EA5">
        <w:rPr>
          <w:sz w:val="22"/>
          <w:szCs w:val="22"/>
          <w:lang w:val="en-GB"/>
        </w:rPr>
        <w:t>symbols</w:t>
      </w:r>
      <w:r w:rsidR="00D61953">
        <w:rPr>
          <w:sz w:val="22"/>
          <w:szCs w:val="22"/>
          <w:lang w:val="en-GB"/>
        </w:rPr>
        <w:t>. Due to flexible configuration of sPUCCH and sPUSCH duration</w:t>
      </w:r>
      <w:r w:rsidR="00664EA5">
        <w:rPr>
          <w:sz w:val="22"/>
          <w:szCs w:val="22"/>
          <w:lang w:val="en-GB"/>
        </w:rPr>
        <w:t>s,</w:t>
      </w:r>
      <w:r w:rsidR="00D61953">
        <w:rPr>
          <w:sz w:val="22"/>
          <w:szCs w:val="22"/>
          <w:lang w:val="en-GB"/>
        </w:rPr>
        <w:t xml:space="preserve"> this option is beneficial</w:t>
      </w:r>
      <w:r w:rsidR="00664EA5">
        <w:rPr>
          <w:sz w:val="22"/>
          <w:szCs w:val="22"/>
          <w:lang w:val="en-GB"/>
        </w:rPr>
        <w:t xml:space="preserve"> </w:t>
      </w:r>
      <w:r w:rsidR="00D61953">
        <w:rPr>
          <w:sz w:val="22"/>
          <w:szCs w:val="22"/>
          <w:lang w:val="en-GB"/>
        </w:rPr>
        <w:t>in the scenarios with high DL loading, where all UL subframe</w:t>
      </w:r>
      <w:r w:rsidR="00664EA5">
        <w:rPr>
          <w:sz w:val="22"/>
          <w:szCs w:val="22"/>
          <w:lang w:val="en-GB"/>
        </w:rPr>
        <w:t>s</w:t>
      </w:r>
      <w:r w:rsidR="00D61953">
        <w:rPr>
          <w:sz w:val="22"/>
          <w:szCs w:val="22"/>
          <w:lang w:val="en-GB"/>
        </w:rPr>
        <w:t xml:space="preserve"> </w:t>
      </w:r>
      <w:r w:rsidR="00664EA5">
        <w:rPr>
          <w:sz w:val="22"/>
          <w:szCs w:val="22"/>
          <w:lang w:val="en-GB"/>
        </w:rPr>
        <w:t>would require</w:t>
      </w:r>
      <w:r w:rsidR="00D61953">
        <w:rPr>
          <w:sz w:val="22"/>
          <w:szCs w:val="22"/>
          <w:lang w:val="en-GB"/>
        </w:rPr>
        <w:t xml:space="preserve"> PUCCH transmission with ACK/NACK reports form the UE. The second alterative </w:t>
      </w:r>
      <w:r w:rsidR="00664EA5">
        <w:rPr>
          <w:sz w:val="22"/>
          <w:szCs w:val="22"/>
          <w:lang w:val="en-GB"/>
        </w:rPr>
        <w:t xml:space="preserve">from the RAN1#97 meeting agreement </w:t>
      </w:r>
      <w:r w:rsidR="00D61953">
        <w:rPr>
          <w:sz w:val="22"/>
          <w:szCs w:val="22"/>
          <w:lang w:val="en-GB"/>
        </w:rPr>
        <w:t xml:space="preserve">relies on the dropping of SRS in case of </w:t>
      </w:r>
      <w:r w:rsidR="00664EA5">
        <w:rPr>
          <w:sz w:val="22"/>
          <w:szCs w:val="22"/>
          <w:lang w:val="en-GB"/>
        </w:rPr>
        <w:t>collision</w:t>
      </w:r>
      <w:r w:rsidR="00D61953">
        <w:rPr>
          <w:sz w:val="22"/>
          <w:szCs w:val="22"/>
          <w:lang w:val="en-GB"/>
        </w:rPr>
        <w:t xml:space="preserve"> with other uplink transmissions in the same uplink subframe. This option, however, is not well justified considering aperiodic structure of SRS </w:t>
      </w:r>
      <w:r w:rsidR="00664EA5">
        <w:rPr>
          <w:sz w:val="22"/>
          <w:szCs w:val="22"/>
          <w:lang w:val="en-GB"/>
        </w:rPr>
        <w:t>that could avoid the collision by scheduling</w:t>
      </w:r>
      <w:r w:rsidR="00D61953">
        <w:rPr>
          <w:sz w:val="22"/>
          <w:szCs w:val="22"/>
          <w:lang w:val="en-GB"/>
        </w:rPr>
        <w:t>. In the third alternative UE is not expected to be triggered with SRS</w:t>
      </w:r>
      <w:r w:rsidR="00664EA5">
        <w:rPr>
          <w:sz w:val="22"/>
          <w:szCs w:val="22"/>
          <w:lang w:val="en-GB"/>
        </w:rPr>
        <w:t xml:space="preserve"> </w:t>
      </w:r>
      <w:r w:rsidR="00AB0571">
        <w:rPr>
          <w:sz w:val="22"/>
          <w:szCs w:val="22"/>
          <w:lang w:val="en-GB"/>
        </w:rPr>
        <w:t>transmissions</w:t>
      </w:r>
      <w:r w:rsidR="00D61953">
        <w:rPr>
          <w:sz w:val="22"/>
          <w:szCs w:val="22"/>
          <w:lang w:val="en-GB"/>
        </w:rPr>
        <w:t xml:space="preserve"> colliding</w:t>
      </w:r>
      <w:r w:rsidR="00664EA5">
        <w:rPr>
          <w:sz w:val="22"/>
          <w:szCs w:val="22"/>
          <w:lang w:val="en-GB"/>
        </w:rPr>
        <w:t xml:space="preserve"> with PUSCH or PUCCH. This alternative </w:t>
      </w:r>
      <w:r w:rsidR="00AB0571">
        <w:rPr>
          <w:sz w:val="22"/>
          <w:szCs w:val="22"/>
          <w:lang w:val="en-GB"/>
        </w:rPr>
        <w:t xml:space="preserve">defines overlapping as error case and </w:t>
      </w:r>
      <w:r w:rsidR="00D61953">
        <w:rPr>
          <w:sz w:val="22"/>
          <w:szCs w:val="22"/>
          <w:lang w:val="en-GB"/>
        </w:rPr>
        <w:t>similar to the fourth alternative. Based on the discussion above the first alternative is more preferable and</w:t>
      </w:r>
      <w:r w:rsidR="00AB0571">
        <w:rPr>
          <w:sz w:val="22"/>
          <w:szCs w:val="22"/>
          <w:lang w:val="en-GB"/>
        </w:rPr>
        <w:t>, therefore,</w:t>
      </w:r>
      <w:r w:rsidR="00D61953">
        <w:rPr>
          <w:sz w:val="22"/>
          <w:szCs w:val="22"/>
          <w:lang w:val="en-GB"/>
        </w:rPr>
        <w:t xml:space="preserve"> recommended for specification. </w:t>
      </w:r>
    </w:p>
    <w:p w14:paraId="7FE6BDDE" w14:textId="77777777" w:rsidR="00C14BA0" w:rsidRPr="00441D22" w:rsidRDefault="00C14BA0" w:rsidP="00C14BA0">
      <w:pPr>
        <w:rPr>
          <w:b/>
          <w:i/>
          <w:sz w:val="22"/>
          <w:szCs w:val="22"/>
          <w:lang w:val="en-GB"/>
        </w:rPr>
      </w:pPr>
    </w:p>
    <w:p w14:paraId="520EFC03" w14:textId="16030663" w:rsidR="00C14BA0" w:rsidRPr="00441D22" w:rsidRDefault="00C14BA0" w:rsidP="00C14BA0">
      <w:pPr>
        <w:jc w:val="both"/>
        <w:rPr>
          <w:i/>
          <w:sz w:val="22"/>
          <w:szCs w:val="22"/>
        </w:rPr>
      </w:pPr>
      <w:r w:rsidRPr="00441D22">
        <w:rPr>
          <w:b/>
          <w:i/>
          <w:sz w:val="22"/>
          <w:szCs w:val="22"/>
        </w:rPr>
        <w:t>Proposal</w:t>
      </w:r>
      <w:r>
        <w:rPr>
          <w:b/>
          <w:i/>
          <w:sz w:val="22"/>
          <w:szCs w:val="22"/>
        </w:rPr>
        <w:t xml:space="preserve"> </w:t>
      </w:r>
      <w:r w:rsidR="00D61953">
        <w:rPr>
          <w:b/>
          <w:i/>
          <w:sz w:val="22"/>
          <w:szCs w:val="22"/>
        </w:rPr>
        <w:t>5</w:t>
      </w:r>
      <w:r w:rsidRPr="00441D22">
        <w:rPr>
          <w:b/>
          <w:i/>
          <w:sz w:val="22"/>
          <w:szCs w:val="22"/>
        </w:rPr>
        <w:t xml:space="preserve">: </w:t>
      </w:r>
      <w:r>
        <w:rPr>
          <w:i/>
          <w:sz w:val="22"/>
          <w:szCs w:val="22"/>
        </w:rPr>
        <w:t xml:space="preserve">Support sPUCCH and sPUSCH capability for efficient multiplexing of the additional SRS </w:t>
      </w:r>
      <w:r w:rsidR="00D61953">
        <w:rPr>
          <w:i/>
          <w:sz w:val="22"/>
          <w:szCs w:val="22"/>
        </w:rPr>
        <w:t>with corresponding physical</w:t>
      </w:r>
      <w:r w:rsidR="00AB0571">
        <w:rPr>
          <w:i/>
          <w:sz w:val="22"/>
          <w:szCs w:val="22"/>
        </w:rPr>
        <w:t xml:space="preserve"> channels in the same subframe.</w:t>
      </w:r>
    </w:p>
    <w:p w14:paraId="03B486C6" w14:textId="38349FA1" w:rsidR="00002509" w:rsidRDefault="00136A2C" w:rsidP="00B51290">
      <w:pPr>
        <w:pStyle w:val="Heading1"/>
        <w:pBdr>
          <w:top w:val="single" w:sz="12" w:space="4" w:color="auto"/>
        </w:pBdr>
        <w:ind w:left="0" w:firstLine="0"/>
        <w:rPr>
          <w:rFonts w:cs="Arial"/>
          <w:lang w:val="en-US"/>
        </w:rPr>
      </w:pPr>
      <w:r>
        <w:rPr>
          <w:rFonts w:cs="Arial"/>
          <w:lang w:val="en-US"/>
        </w:rPr>
        <w:t>5</w:t>
      </w:r>
      <w:r w:rsidR="00B51290">
        <w:rPr>
          <w:rFonts w:cs="Arial"/>
          <w:lang w:val="en-US"/>
        </w:rPr>
        <w:t xml:space="preserve">. </w:t>
      </w:r>
      <w:r w:rsidR="00C23A83">
        <w:rPr>
          <w:rFonts w:cs="Arial"/>
          <w:lang w:val="en-US"/>
        </w:rPr>
        <w:t>C</w:t>
      </w:r>
      <w:r w:rsidR="00002509" w:rsidRPr="00002509">
        <w:rPr>
          <w:rFonts w:cs="Arial" w:hint="eastAsia"/>
          <w:lang w:val="en-US"/>
        </w:rPr>
        <w:t>onclusion</w:t>
      </w:r>
    </w:p>
    <w:p w14:paraId="5C86A024" w14:textId="4F0C8940" w:rsidR="00C35EA0" w:rsidRDefault="005E7A64" w:rsidP="00C35EA0">
      <w:pPr>
        <w:jc w:val="both"/>
        <w:rPr>
          <w:sz w:val="22"/>
          <w:szCs w:val="22"/>
        </w:rPr>
      </w:pPr>
      <w:r>
        <w:rPr>
          <w:sz w:val="22"/>
          <w:szCs w:val="22"/>
        </w:rPr>
        <w:t>In this contribution we provide over views on the remaining issues for additional SRS support. The following proposals were made:</w:t>
      </w:r>
    </w:p>
    <w:p w14:paraId="0EE23801" w14:textId="178B3F8E" w:rsidR="00D61953" w:rsidRPr="00095EE9" w:rsidRDefault="00D61953" w:rsidP="00095EE9">
      <w:pPr>
        <w:pStyle w:val="LGTdoc1"/>
        <w:numPr>
          <w:ilvl w:val="0"/>
          <w:numId w:val="48"/>
        </w:numPr>
        <w:spacing w:beforeLines="0" w:after="120" w:afterAutospacing="0"/>
        <w:rPr>
          <w:b w:val="0"/>
          <w:i/>
        </w:rPr>
      </w:pPr>
      <w:r w:rsidRPr="00095EE9">
        <w:rPr>
          <w:rFonts w:eastAsia="Malgun Gothic"/>
          <w:b w:val="0"/>
          <w:i/>
          <w:sz w:val="22"/>
          <w:szCs w:val="22"/>
          <w:lang w:eastAsia="zh-CN"/>
        </w:rPr>
        <w:t>SRS guard periods for antenna switching / frequency hopping are not used when additional SRS are configured with repetitions</w:t>
      </w:r>
    </w:p>
    <w:p w14:paraId="4BDDEDD3" w14:textId="1BF98EF2" w:rsidR="00095EE9" w:rsidRPr="00095EE9" w:rsidRDefault="00095EE9" w:rsidP="00095EE9">
      <w:pPr>
        <w:pStyle w:val="LGTdoc1"/>
        <w:numPr>
          <w:ilvl w:val="0"/>
          <w:numId w:val="48"/>
        </w:numPr>
        <w:spacing w:beforeLines="0" w:after="120" w:afterAutospacing="0"/>
        <w:rPr>
          <w:b w:val="0"/>
          <w:i/>
        </w:rPr>
      </w:pPr>
      <w:r w:rsidRPr="00095EE9">
        <w:rPr>
          <w:rFonts w:eastAsia="SimSun"/>
          <w:b w:val="0"/>
          <w:i/>
          <w:snapToGrid/>
          <w:sz w:val="22"/>
          <w:szCs w:val="22"/>
          <w:lang w:eastAsia="en-US"/>
        </w:rPr>
        <w:t>T</w:t>
      </w:r>
      <w:r w:rsidRPr="00095EE9">
        <w:rPr>
          <w:b w:val="0"/>
          <w:i/>
          <w:sz w:val="22"/>
          <w:szCs w:val="22"/>
        </w:rPr>
        <w:t>o maximize the processing gains and minimize the number of transient periods, SRS transmission should be performed in the following order (1) repetition (2) frequency hopping (3) antenna switching</w:t>
      </w:r>
    </w:p>
    <w:p w14:paraId="13DB91CB" w14:textId="6974C926" w:rsidR="00095EE9" w:rsidRPr="00095EE9" w:rsidRDefault="00095EE9" w:rsidP="00095EE9">
      <w:pPr>
        <w:pStyle w:val="LGTdoc1"/>
        <w:numPr>
          <w:ilvl w:val="0"/>
          <w:numId w:val="48"/>
        </w:numPr>
        <w:spacing w:beforeLines="0" w:after="120" w:afterAutospacing="0"/>
        <w:rPr>
          <w:rFonts w:eastAsia="Malgun Gothic"/>
          <w:b w:val="0"/>
          <w:i/>
          <w:sz w:val="22"/>
          <w:szCs w:val="22"/>
          <w:lang w:eastAsia="zh-CN"/>
        </w:rPr>
      </w:pPr>
      <w:r w:rsidRPr="00095EE9">
        <w:rPr>
          <w:rFonts w:eastAsia="Malgun Gothic"/>
          <w:b w:val="0"/>
          <w:i/>
          <w:sz w:val="22"/>
          <w:szCs w:val="22"/>
          <w:lang w:eastAsia="zh-CN"/>
        </w:rPr>
        <w:t>The frequency hopping patterns for the legacy periodic SRS and additional aperiodic SRS are independent</w:t>
      </w:r>
    </w:p>
    <w:p w14:paraId="140E38FD" w14:textId="1B7267B5" w:rsidR="00095EE9" w:rsidRDefault="00095EE9" w:rsidP="00095EE9">
      <w:pPr>
        <w:pStyle w:val="LGTdoc1"/>
        <w:numPr>
          <w:ilvl w:val="0"/>
          <w:numId w:val="48"/>
        </w:numPr>
        <w:spacing w:beforeLines="0" w:after="120" w:afterAutospacing="0"/>
        <w:rPr>
          <w:rFonts w:eastAsia="Malgun Gothic"/>
          <w:b w:val="0"/>
          <w:i/>
          <w:sz w:val="22"/>
          <w:szCs w:val="22"/>
          <w:lang w:eastAsia="zh-CN"/>
        </w:rPr>
      </w:pPr>
      <w:r w:rsidRPr="00095EE9">
        <w:rPr>
          <w:rFonts w:eastAsia="Malgun Gothic"/>
          <w:b w:val="0"/>
          <w:i/>
          <w:sz w:val="22"/>
          <w:szCs w:val="22"/>
          <w:lang w:eastAsia="zh-CN"/>
        </w:rPr>
        <w:t>If independent power control is used for SRS, for the subframe where legacy and additional SRS are triggered, all SRS symbols transmission should follow the same power control configurations corresponding to legacy SRS to facilitate joint processing at eNB</w:t>
      </w:r>
    </w:p>
    <w:p w14:paraId="6F4948F5" w14:textId="6822D5D6" w:rsidR="00136A2C" w:rsidRPr="00095EE9" w:rsidRDefault="00095EE9" w:rsidP="00095EE9">
      <w:pPr>
        <w:pStyle w:val="LGTdoc1"/>
        <w:numPr>
          <w:ilvl w:val="0"/>
          <w:numId w:val="48"/>
        </w:numPr>
        <w:spacing w:beforeLines="0" w:after="120" w:afterAutospacing="0"/>
        <w:rPr>
          <w:rFonts w:eastAsia="Malgun Gothic"/>
          <w:b w:val="0"/>
          <w:i/>
          <w:sz w:val="22"/>
          <w:szCs w:val="22"/>
          <w:lang w:eastAsia="zh-CN"/>
        </w:rPr>
      </w:pPr>
      <w:r w:rsidRPr="00095EE9">
        <w:rPr>
          <w:rFonts w:eastAsia="Malgun Gothic"/>
          <w:b w:val="0"/>
          <w:i/>
          <w:sz w:val="22"/>
          <w:szCs w:val="22"/>
          <w:lang w:eastAsia="zh-CN"/>
        </w:rPr>
        <w:t>Support sPUCCH and sPUSCH capability for efficient multiplexing of the additional SRS with corresponding physical channels in the same subframe</w:t>
      </w:r>
      <w:r w:rsidR="00A361CF" w:rsidRPr="00095EE9">
        <w:rPr>
          <w:rFonts w:eastAsia="Malgun Gothic"/>
          <w:b w:val="0"/>
          <w:i/>
          <w:sz w:val="22"/>
          <w:szCs w:val="22"/>
          <w:lang w:eastAsia="zh-CN"/>
        </w:rPr>
        <w:t xml:space="preserve"> </w:t>
      </w: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4FB266D9" w14:textId="1432D94E" w:rsidR="00B37236" w:rsidRPr="00B37236" w:rsidRDefault="005E7A64" w:rsidP="00B37236">
      <w:pPr>
        <w:pStyle w:val="Default"/>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 xml:space="preserve">[1] </w:t>
      </w:r>
      <w:r w:rsidR="00B37236" w:rsidRPr="00B37236">
        <w:rPr>
          <w:rFonts w:ascii="Times New Roman" w:eastAsia="SimSun" w:hAnsi="Times New Roman" w:cs="Times New Roman"/>
          <w:color w:val="auto"/>
          <w:sz w:val="22"/>
          <w:szCs w:val="22"/>
          <w:lang w:eastAsia="zh-CN"/>
        </w:rPr>
        <w:t>RP-182901</w:t>
      </w:r>
      <w:r w:rsidR="00B37236">
        <w:rPr>
          <w:rFonts w:ascii="Times New Roman" w:eastAsia="SimSun" w:hAnsi="Times New Roman" w:cs="Times New Roman"/>
          <w:color w:val="auto"/>
          <w:sz w:val="22"/>
          <w:szCs w:val="22"/>
          <w:lang w:eastAsia="zh-CN"/>
        </w:rPr>
        <w:t>,</w:t>
      </w:r>
      <w:r w:rsidR="00B37236" w:rsidRPr="00B37236">
        <w:rPr>
          <w:rFonts w:ascii="Times New Roman" w:eastAsia="SimSun" w:hAnsi="Times New Roman" w:cs="Times New Roman"/>
          <w:color w:val="auto"/>
          <w:sz w:val="22"/>
          <w:szCs w:val="22"/>
          <w:lang w:eastAsia="zh-CN"/>
        </w:rPr>
        <w:t xml:space="preserve"> WID Revision: DL MIMO efficiency enhancements for LTE</w:t>
      </w:r>
      <w:r w:rsidR="00B37236">
        <w:rPr>
          <w:rFonts w:ascii="Times New Roman" w:eastAsia="SimSun" w:hAnsi="Times New Roman" w:cs="Times New Roman"/>
          <w:color w:val="auto"/>
          <w:sz w:val="22"/>
          <w:szCs w:val="22"/>
          <w:lang w:eastAsia="zh-CN"/>
        </w:rPr>
        <w:t xml:space="preserve">, </w:t>
      </w:r>
      <w:r w:rsidR="00B37236" w:rsidRPr="00B37236">
        <w:rPr>
          <w:rFonts w:ascii="Times New Roman" w:eastAsia="SimSun" w:hAnsi="Times New Roman" w:cs="Times New Roman"/>
          <w:color w:val="auto"/>
          <w:sz w:val="22"/>
          <w:szCs w:val="22"/>
          <w:lang w:eastAsia="zh-CN"/>
        </w:rPr>
        <w:t>Sorrento, Italia, December 10 – 13, 2018</w:t>
      </w:r>
      <w:r w:rsidR="00B37236">
        <w:rPr>
          <w:rFonts w:ascii="Times New Roman" w:eastAsia="SimSun" w:hAnsi="Times New Roman" w:cs="Times New Roman"/>
          <w:color w:val="auto"/>
          <w:sz w:val="22"/>
          <w:szCs w:val="22"/>
          <w:lang w:eastAsia="zh-CN"/>
        </w:rPr>
        <w:t xml:space="preserve">, </w:t>
      </w:r>
      <w:r w:rsidR="00B37236" w:rsidRPr="00B37236">
        <w:rPr>
          <w:rFonts w:ascii="Times New Roman" w:eastAsia="SimSun" w:hAnsi="Times New Roman" w:cs="Times New Roman"/>
          <w:color w:val="auto"/>
          <w:sz w:val="22"/>
          <w:szCs w:val="22"/>
          <w:lang w:eastAsia="zh-CN"/>
        </w:rPr>
        <w:t>Huawei, HiSilicon</w:t>
      </w:r>
      <w:r w:rsidR="00B37236">
        <w:rPr>
          <w:rFonts w:ascii="Times New Roman" w:eastAsia="SimSun" w:hAnsi="Times New Roman" w:cs="Times New Roman"/>
          <w:color w:val="auto"/>
          <w:sz w:val="22"/>
          <w:szCs w:val="22"/>
          <w:lang w:eastAsia="zh-CN"/>
        </w:rPr>
        <w:t>.</w:t>
      </w:r>
      <w:bookmarkStart w:id="0" w:name="_GoBack"/>
      <w:bookmarkEnd w:id="0"/>
    </w:p>
    <w:sectPr w:rsidR="00B37236" w:rsidRPr="00B37236"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589CB" w14:textId="77777777" w:rsidR="00423D8F" w:rsidRDefault="00423D8F">
      <w:r>
        <w:separator/>
      </w:r>
    </w:p>
  </w:endnote>
  <w:endnote w:type="continuationSeparator" w:id="0">
    <w:p w14:paraId="2BB86DB4" w14:textId="77777777" w:rsidR="00423D8F" w:rsidRDefault="0042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3BABB" w14:textId="77777777" w:rsidR="00423D8F" w:rsidRDefault="00423D8F">
      <w:r>
        <w:separator/>
      </w:r>
    </w:p>
  </w:footnote>
  <w:footnote w:type="continuationSeparator" w:id="0">
    <w:p w14:paraId="25608897" w14:textId="77777777" w:rsidR="00423D8F" w:rsidRDefault="00423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584E4A"/>
    <w:multiLevelType w:val="hybridMultilevel"/>
    <w:tmpl w:val="91AABFEC"/>
    <w:lvl w:ilvl="0" w:tplc="A134BF9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704DD2"/>
    <w:multiLevelType w:val="hybridMultilevel"/>
    <w:tmpl w:val="6938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B4A3F"/>
    <w:multiLevelType w:val="hybridMultilevel"/>
    <w:tmpl w:val="22E4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27141"/>
    <w:multiLevelType w:val="hybridMultilevel"/>
    <w:tmpl w:val="2B1E7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874CBE"/>
    <w:multiLevelType w:val="hybridMultilevel"/>
    <w:tmpl w:val="D2CC6A06"/>
    <w:lvl w:ilvl="0" w:tplc="8BB8898C">
      <w:start w:val="162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331A7"/>
    <w:multiLevelType w:val="hybridMultilevel"/>
    <w:tmpl w:val="26F0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A568E7"/>
    <w:multiLevelType w:val="hybridMultilevel"/>
    <w:tmpl w:val="496C0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37478A"/>
    <w:multiLevelType w:val="hybridMultilevel"/>
    <w:tmpl w:val="9284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3"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B55CCE"/>
    <w:multiLevelType w:val="hybridMultilevel"/>
    <w:tmpl w:val="3DC65D7E"/>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1"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7FFB2400"/>
    <w:multiLevelType w:val="hybridMultilevel"/>
    <w:tmpl w:val="B868F7F4"/>
    <w:lvl w:ilvl="0" w:tplc="57665F2C">
      <w:numFmt w:val="bullet"/>
      <w:lvlText w:val="-"/>
      <w:lvlJc w:val="left"/>
      <w:pPr>
        <w:ind w:left="933" w:hanging="360"/>
      </w:pPr>
      <w:rPr>
        <w:rFonts w:ascii="Times New Roman" w:eastAsia="SimSun" w:hAnsi="Times New Roman" w:cs="Times New Roman" w:hint="default"/>
      </w:rPr>
    </w:lvl>
    <w:lvl w:ilvl="1" w:tplc="04090003">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num w:numId="1">
    <w:abstractNumId w:val="11"/>
  </w:num>
  <w:num w:numId="2">
    <w:abstractNumId w:val="4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1"/>
  </w:num>
  <w:num w:numId="6">
    <w:abstractNumId w:val="16"/>
  </w:num>
  <w:num w:numId="7">
    <w:abstractNumId w:val="43"/>
  </w:num>
  <w:num w:numId="8">
    <w:abstractNumId w:val="36"/>
  </w:num>
  <w:num w:numId="9">
    <w:abstractNumId w:val="13"/>
  </w:num>
  <w:num w:numId="10">
    <w:abstractNumId w:val="30"/>
  </w:num>
  <w:num w:numId="11">
    <w:abstractNumId w:val="3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3"/>
  </w:num>
  <w:num w:numId="15">
    <w:abstractNumId w:val="20"/>
  </w:num>
  <w:num w:numId="16">
    <w:abstractNumId w:val="6"/>
  </w:num>
  <w:num w:numId="17">
    <w:abstractNumId w:val="4"/>
  </w:num>
  <w:num w:numId="18">
    <w:abstractNumId w:val="40"/>
  </w:num>
  <w:num w:numId="19">
    <w:abstractNumId w:val="45"/>
  </w:num>
  <w:num w:numId="20">
    <w:abstractNumId w:val="2"/>
  </w:num>
  <w:num w:numId="21">
    <w:abstractNumId w:val="15"/>
  </w:num>
  <w:num w:numId="22">
    <w:abstractNumId w:val="5"/>
  </w:num>
  <w:num w:numId="23">
    <w:abstractNumId w:val="29"/>
  </w:num>
  <w:num w:numId="24">
    <w:abstractNumId w:val="21"/>
  </w:num>
  <w:num w:numId="25">
    <w:abstractNumId w:val="34"/>
  </w:num>
  <w:num w:numId="26">
    <w:abstractNumId w:val="39"/>
  </w:num>
  <w:num w:numId="27">
    <w:abstractNumId w:val="25"/>
  </w:num>
  <w:num w:numId="28">
    <w:abstractNumId w:val="24"/>
  </w:num>
  <w:num w:numId="29">
    <w:abstractNumId w:val="12"/>
  </w:num>
  <w:num w:numId="30">
    <w:abstractNumId w:val="37"/>
  </w:num>
  <w:num w:numId="31">
    <w:abstractNumId w:val="9"/>
  </w:num>
  <w:num w:numId="32">
    <w:abstractNumId w:val="18"/>
  </w:num>
  <w:num w:numId="33">
    <w:abstractNumId w:val="28"/>
  </w:num>
  <w:num w:numId="34">
    <w:abstractNumId w:val="41"/>
  </w:num>
  <w:num w:numId="35">
    <w:abstractNumId w:val="46"/>
  </w:num>
  <w:num w:numId="36">
    <w:abstractNumId w:val="17"/>
  </w:num>
  <w:num w:numId="37">
    <w:abstractNumId w:val="14"/>
  </w:num>
  <w:num w:numId="38">
    <w:abstractNumId w:val="1"/>
  </w:num>
  <w:num w:numId="39">
    <w:abstractNumId w:val="35"/>
  </w:num>
  <w:num w:numId="40">
    <w:abstractNumId w:val="47"/>
  </w:num>
  <w:num w:numId="41">
    <w:abstractNumId w:val="32"/>
  </w:num>
  <w:num w:numId="42">
    <w:abstractNumId w:val="3"/>
  </w:num>
  <w:num w:numId="43">
    <w:abstractNumId w:val="42"/>
  </w:num>
  <w:num w:numId="44">
    <w:abstractNumId w:val="10"/>
  </w:num>
  <w:num w:numId="45">
    <w:abstractNumId w:val="7"/>
  </w:num>
  <w:num w:numId="46">
    <w:abstractNumId w:val="26"/>
  </w:num>
  <w:num w:numId="47">
    <w:abstractNumId w:val="19"/>
  </w:num>
  <w:num w:numId="4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181"/>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ACC"/>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636"/>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9AF"/>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551"/>
    <w:rsid w:val="00093B23"/>
    <w:rsid w:val="00093EA6"/>
    <w:rsid w:val="0009437A"/>
    <w:rsid w:val="000947B7"/>
    <w:rsid w:val="00094CFE"/>
    <w:rsid w:val="00095127"/>
    <w:rsid w:val="00095671"/>
    <w:rsid w:val="00095920"/>
    <w:rsid w:val="00095EE9"/>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146"/>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7B3"/>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097"/>
    <w:rsid w:val="00101489"/>
    <w:rsid w:val="00101513"/>
    <w:rsid w:val="00101A0E"/>
    <w:rsid w:val="00101ACE"/>
    <w:rsid w:val="00102147"/>
    <w:rsid w:val="001021B6"/>
    <w:rsid w:val="00102D2E"/>
    <w:rsid w:val="0010341A"/>
    <w:rsid w:val="00103658"/>
    <w:rsid w:val="0010365D"/>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89B"/>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92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1B"/>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2C"/>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23"/>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EE8"/>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523"/>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0E64"/>
    <w:rsid w:val="001817BA"/>
    <w:rsid w:val="00181B3A"/>
    <w:rsid w:val="001820B2"/>
    <w:rsid w:val="001821E9"/>
    <w:rsid w:val="00182608"/>
    <w:rsid w:val="00182E75"/>
    <w:rsid w:val="001836DF"/>
    <w:rsid w:val="00183CC6"/>
    <w:rsid w:val="00183D8A"/>
    <w:rsid w:val="00183E8B"/>
    <w:rsid w:val="00183F11"/>
    <w:rsid w:val="001840F5"/>
    <w:rsid w:val="00184B9D"/>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C88"/>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A14"/>
    <w:rsid w:val="001C2E4A"/>
    <w:rsid w:val="001C2E60"/>
    <w:rsid w:val="001C3474"/>
    <w:rsid w:val="001C38DA"/>
    <w:rsid w:val="001C3DC6"/>
    <w:rsid w:val="001C3EAD"/>
    <w:rsid w:val="001C3EAE"/>
    <w:rsid w:val="001C4F5F"/>
    <w:rsid w:val="001C518A"/>
    <w:rsid w:val="001C5594"/>
    <w:rsid w:val="001C589B"/>
    <w:rsid w:val="001C58A6"/>
    <w:rsid w:val="001C5BE0"/>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3"/>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46"/>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E6C"/>
    <w:rsid w:val="001F0546"/>
    <w:rsid w:val="001F0797"/>
    <w:rsid w:val="001F0800"/>
    <w:rsid w:val="001F0DDF"/>
    <w:rsid w:val="001F134F"/>
    <w:rsid w:val="001F16FD"/>
    <w:rsid w:val="001F1B1E"/>
    <w:rsid w:val="001F1DFA"/>
    <w:rsid w:val="001F22A9"/>
    <w:rsid w:val="001F2536"/>
    <w:rsid w:val="001F2591"/>
    <w:rsid w:val="001F26BB"/>
    <w:rsid w:val="001F26E9"/>
    <w:rsid w:val="001F2E08"/>
    <w:rsid w:val="001F37ED"/>
    <w:rsid w:val="001F39AB"/>
    <w:rsid w:val="001F45E8"/>
    <w:rsid w:val="001F4AE1"/>
    <w:rsid w:val="001F4B3B"/>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0DA"/>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3AA"/>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9D"/>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E0A"/>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5D19"/>
    <w:rsid w:val="002361D3"/>
    <w:rsid w:val="00236F55"/>
    <w:rsid w:val="00236F71"/>
    <w:rsid w:val="002373FC"/>
    <w:rsid w:val="0023768D"/>
    <w:rsid w:val="0023776F"/>
    <w:rsid w:val="00237C6F"/>
    <w:rsid w:val="00237D22"/>
    <w:rsid w:val="00240B7D"/>
    <w:rsid w:val="00240F76"/>
    <w:rsid w:val="00240F8C"/>
    <w:rsid w:val="0024103F"/>
    <w:rsid w:val="00241C7B"/>
    <w:rsid w:val="002421F2"/>
    <w:rsid w:val="0024224E"/>
    <w:rsid w:val="00242B2A"/>
    <w:rsid w:val="00242CAE"/>
    <w:rsid w:val="00243ACD"/>
    <w:rsid w:val="00243DCC"/>
    <w:rsid w:val="0024407B"/>
    <w:rsid w:val="002443C2"/>
    <w:rsid w:val="002444E3"/>
    <w:rsid w:val="00244606"/>
    <w:rsid w:val="00244924"/>
    <w:rsid w:val="00244DFD"/>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391"/>
    <w:rsid w:val="00267825"/>
    <w:rsid w:val="00267CFE"/>
    <w:rsid w:val="00267EF5"/>
    <w:rsid w:val="00267F60"/>
    <w:rsid w:val="00270571"/>
    <w:rsid w:val="00270621"/>
    <w:rsid w:val="00270C63"/>
    <w:rsid w:val="00270C98"/>
    <w:rsid w:val="00270E57"/>
    <w:rsid w:val="00271736"/>
    <w:rsid w:val="00271738"/>
    <w:rsid w:val="0027193C"/>
    <w:rsid w:val="00271B1E"/>
    <w:rsid w:val="00271EEF"/>
    <w:rsid w:val="00271FFC"/>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CA0"/>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785"/>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8E9"/>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28"/>
    <w:rsid w:val="002B3D90"/>
    <w:rsid w:val="002B4982"/>
    <w:rsid w:val="002B4C39"/>
    <w:rsid w:val="002B50A4"/>
    <w:rsid w:val="002B516F"/>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008"/>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733"/>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7F2"/>
    <w:rsid w:val="002E4DC0"/>
    <w:rsid w:val="002E5290"/>
    <w:rsid w:val="002E58E1"/>
    <w:rsid w:val="002E5BDD"/>
    <w:rsid w:val="002E5C56"/>
    <w:rsid w:val="002E5F4C"/>
    <w:rsid w:val="002E66FC"/>
    <w:rsid w:val="002E679D"/>
    <w:rsid w:val="002E6994"/>
    <w:rsid w:val="002E7321"/>
    <w:rsid w:val="002E7894"/>
    <w:rsid w:val="002E7FA9"/>
    <w:rsid w:val="002F0045"/>
    <w:rsid w:val="002F00F0"/>
    <w:rsid w:val="002F025B"/>
    <w:rsid w:val="002F0684"/>
    <w:rsid w:val="002F0ADB"/>
    <w:rsid w:val="002F0DCE"/>
    <w:rsid w:val="002F111A"/>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1C3B"/>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544"/>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57FD9"/>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15"/>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896"/>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76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886"/>
    <w:rsid w:val="003F7DFF"/>
    <w:rsid w:val="00400032"/>
    <w:rsid w:val="0040015E"/>
    <w:rsid w:val="00400427"/>
    <w:rsid w:val="00400688"/>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4A94"/>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3D8F"/>
    <w:rsid w:val="0042425E"/>
    <w:rsid w:val="00424DD1"/>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1D22"/>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167"/>
    <w:rsid w:val="00476D8B"/>
    <w:rsid w:val="00476EAE"/>
    <w:rsid w:val="00476FC4"/>
    <w:rsid w:val="004774C5"/>
    <w:rsid w:val="004775ED"/>
    <w:rsid w:val="004777C7"/>
    <w:rsid w:val="00477A8F"/>
    <w:rsid w:val="004802F4"/>
    <w:rsid w:val="004803A9"/>
    <w:rsid w:val="004807D5"/>
    <w:rsid w:val="00480B03"/>
    <w:rsid w:val="004810EC"/>
    <w:rsid w:val="004814F6"/>
    <w:rsid w:val="0048157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51A"/>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8F8"/>
    <w:rsid w:val="00494D25"/>
    <w:rsid w:val="00494E75"/>
    <w:rsid w:val="00495071"/>
    <w:rsid w:val="00495075"/>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391"/>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193"/>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0D"/>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14"/>
    <w:rsid w:val="004F01B4"/>
    <w:rsid w:val="004F020A"/>
    <w:rsid w:val="004F080C"/>
    <w:rsid w:val="004F09DD"/>
    <w:rsid w:val="004F0C82"/>
    <w:rsid w:val="004F0DF1"/>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D0D"/>
    <w:rsid w:val="004F6F20"/>
    <w:rsid w:val="004F7373"/>
    <w:rsid w:val="004F73A5"/>
    <w:rsid w:val="004F76A6"/>
    <w:rsid w:val="004F78C3"/>
    <w:rsid w:val="004F7C51"/>
    <w:rsid w:val="004F7CE6"/>
    <w:rsid w:val="004F7F1A"/>
    <w:rsid w:val="0050031C"/>
    <w:rsid w:val="005004F7"/>
    <w:rsid w:val="00500798"/>
    <w:rsid w:val="005007E7"/>
    <w:rsid w:val="00500A59"/>
    <w:rsid w:val="00500CF5"/>
    <w:rsid w:val="00500D5B"/>
    <w:rsid w:val="005012BB"/>
    <w:rsid w:val="0050132F"/>
    <w:rsid w:val="00501723"/>
    <w:rsid w:val="0050192A"/>
    <w:rsid w:val="00501A8C"/>
    <w:rsid w:val="00501F0D"/>
    <w:rsid w:val="00502320"/>
    <w:rsid w:val="00502823"/>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AA6"/>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C63"/>
    <w:rsid w:val="00516D2A"/>
    <w:rsid w:val="00517186"/>
    <w:rsid w:val="005173A4"/>
    <w:rsid w:val="0051770E"/>
    <w:rsid w:val="0052001B"/>
    <w:rsid w:val="005205C8"/>
    <w:rsid w:val="005205D5"/>
    <w:rsid w:val="00521D65"/>
    <w:rsid w:val="005221A4"/>
    <w:rsid w:val="005221D9"/>
    <w:rsid w:val="005225AC"/>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95"/>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9B0"/>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78F"/>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E7"/>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BD3"/>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C3E"/>
    <w:rsid w:val="005E11F9"/>
    <w:rsid w:val="005E1385"/>
    <w:rsid w:val="005E1393"/>
    <w:rsid w:val="005E1A58"/>
    <w:rsid w:val="005E1C06"/>
    <w:rsid w:val="005E1CA2"/>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A64"/>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C7F"/>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3F89"/>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2F5E"/>
    <w:rsid w:val="00643769"/>
    <w:rsid w:val="006437A9"/>
    <w:rsid w:val="00643973"/>
    <w:rsid w:val="00644200"/>
    <w:rsid w:val="0064428B"/>
    <w:rsid w:val="00644511"/>
    <w:rsid w:val="0064486C"/>
    <w:rsid w:val="00644E60"/>
    <w:rsid w:val="0064552C"/>
    <w:rsid w:val="006457B7"/>
    <w:rsid w:val="00645C7B"/>
    <w:rsid w:val="00646556"/>
    <w:rsid w:val="00646B2F"/>
    <w:rsid w:val="00646FC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3479"/>
    <w:rsid w:val="00653633"/>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9FB"/>
    <w:rsid w:val="00661C1D"/>
    <w:rsid w:val="00661CC2"/>
    <w:rsid w:val="00662166"/>
    <w:rsid w:val="00662972"/>
    <w:rsid w:val="00662FA2"/>
    <w:rsid w:val="006631ED"/>
    <w:rsid w:val="00663572"/>
    <w:rsid w:val="006635DC"/>
    <w:rsid w:val="00663908"/>
    <w:rsid w:val="00663E90"/>
    <w:rsid w:val="0066402E"/>
    <w:rsid w:val="00664121"/>
    <w:rsid w:val="006643E1"/>
    <w:rsid w:val="006646F4"/>
    <w:rsid w:val="00664EA5"/>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084"/>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4E"/>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872"/>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80C"/>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C29"/>
    <w:rsid w:val="006B3E55"/>
    <w:rsid w:val="006B4D4E"/>
    <w:rsid w:val="006B5CDC"/>
    <w:rsid w:val="006B5D1D"/>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B16"/>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674"/>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D65"/>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69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48B"/>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A52"/>
    <w:rsid w:val="00745A68"/>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874"/>
    <w:rsid w:val="00754D64"/>
    <w:rsid w:val="007556A5"/>
    <w:rsid w:val="00755B06"/>
    <w:rsid w:val="00755E06"/>
    <w:rsid w:val="007562AA"/>
    <w:rsid w:val="0075639D"/>
    <w:rsid w:val="007564B4"/>
    <w:rsid w:val="007565E2"/>
    <w:rsid w:val="00756ACC"/>
    <w:rsid w:val="007570A3"/>
    <w:rsid w:val="007572E9"/>
    <w:rsid w:val="00757495"/>
    <w:rsid w:val="00757802"/>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382"/>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821"/>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5C5D"/>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37"/>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258"/>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E1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54D"/>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256"/>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8D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63A"/>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15"/>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7C5"/>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596"/>
    <w:rsid w:val="008726A0"/>
    <w:rsid w:val="008734E7"/>
    <w:rsid w:val="00873839"/>
    <w:rsid w:val="00873BF0"/>
    <w:rsid w:val="008744C8"/>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26A"/>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E80"/>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97F90"/>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3D"/>
    <w:rsid w:val="008B7394"/>
    <w:rsid w:val="008B756D"/>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9B0"/>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5D6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3E3"/>
    <w:rsid w:val="008F7610"/>
    <w:rsid w:val="008F7BD6"/>
    <w:rsid w:val="008F7CEF"/>
    <w:rsid w:val="009000FD"/>
    <w:rsid w:val="00900DDE"/>
    <w:rsid w:val="00900DF1"/>
    <w:rsid w:val="0090108C"/>
    <w:rsid w:val="0090173C"/>
    <w:rsid w:val="009017CE"/>
    <w:rsid w:val="00901845"/>
    <w:rsid w:val="00901926"/>
    <w:rsid w:val="00901B0C"/>
    <w:rsid w:val="009022BC"/>
    <w:rsid w:val="0090255A"/>
    <w:rsid w:val="00902734"/>
    <w:rsid w:val="00902997"/>
    <w:rsid w:val="0090300D"/>
    <w:rsid w:val="00903078"/>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AA2"/>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3A"/>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D7"/>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C9F"/>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375"/>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7DE"/>
    <w:rsid w:val="009B0D09"/>
    <w:rsid w:val="009B0FDA"/>
    <w:rsid w:val="009B169A"/>
    <w:rsid w:val="009B1B81"/>
    <w:rsid w:val="009B22E9"/>
    <w:rsid w:val="009B2353"/>
    <w:rsid w:val="009B3221"/>
    <w:rsid w:val="009B346F"/>
    <w:rsid w:val="009B3694"/>
    <w:rsid w:val="009B3745"/>
    <w:rsid w:val="009B3C79"/>
    <w:rsid w:val="009B3E77"/>
    <w:rsid w:val="009B3F3C"/>
    <w:rsid w:val="009B4341"/>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A33"/>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EE9"/>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78C"/>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455"/>
    <w:rsid w:val="00A34D39"/>
    <w:rsid w:val="00A35735"/>
    <w:rsid w:val="00A3583A"/>
    <w:rsid w:val="00A35A0B"/>
    <w:rsid w:val="00A35CBB"/>
    <w:rsid w:val="00A36027"/>
    <w:rsid w:val="00A361CF"/>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27"/>
    <w:rsid w:val="00A5637C"/>
    <w:rsid w:val="00A565AD"/>
    <w:rsid w:val="00A56735"/>
    <w:rsid w:val="00A56B4E"/>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93"/>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5AD"/>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571"/>
    <w:rsid w:val="00AB06B8"/>
    <w:rsid w:val="00AB0ADE"/>
    <w:rsid w:val="00AB0CA0"/>
    <w:rsid w:val="00AB102D"/>
    <w:rsid w:val="00AB17C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BD7"/>
    <w:rsid w:val="00AC2D4E"/>
    <w:rsid w:val="00AC2DA4"/>
    <w:rsid w:val="00AC3084"/>
    <w:rsid w:val="00AC3431"/>
    <w:rsid w:val="00AC3657"/>
    <w:rsid w:val="00AC37AD"/>
    <w:rsid w:val="00AC38E9"/>
    <w:rsid w:val="00AC4590"/>
    <w:rsid w:val="00AC45D6"/>
    <w:rsid w:val="00AC4676"/>
    <w:rsid w:val="00AC49B9"/>
    <w:rsid w:val="00AC4D53"/>
    <w:rsid w:val="00AC4E2E"/>
    <w:rsid w:val="00AC5A3B"/>
    <w:rsid w:val="00AC61B3"/>
    <w:rsid w:val="00AC63F4"/>
    <w:rsid w:val="00AC6521"/>
    <w:rsid w:val="00AC690A"/>
    <w:rsid w:val="00AC6D0A"/>
    <w:rsid w:val="00AC7D94"/>
    <w:rsid w:val="00AD0D5C"/>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CD0"/>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D4"/>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82F"/>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37236"/>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290"/>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949"/>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BAC"/>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B51"/>
    <w:rsid w:val="00B82ED6"/>
    <w:rsid w:val="00B830F7"/>
    <w:rsid w:val="00B8321E"/>
    <w:rsid w:val="00B83AC3"/>
    <w:rsid w:val="00B83D8E"/>
    <w:rsid w:val="00B83DF6"/>
    <w:rsid w:val="00B8408E"/>
    <w:rsid w:val="00B84920"/>
    <w:rsid w:val="00B84BE8"/>
    <w:rsid w:val="00B85E03"/>
    <w:rsid w:val="00B85E54"/>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BD"/>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9E2"/>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989"/>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4F5"/>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955"/>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9B6"/>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4B7"/>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2CB"/>
    <w:rsid w:val="00C1286D"/>
    <w:rsid w:val="00C12EB5"/>
    <w:rsid w:val="00C134A1"/>
    <w:rsid w:val="00C13504"/>
    <w:rsid w:val="00C13C8A"/>
    <w:rsid w:val="00C13F22"/>
    <w:rsid w:val="00C13F33"/>
    <w:rsid w:val="00C140FE"/>
    <w:rsid w:val="00C14BA0"/>
    <w:rsid w:val="00C14C0C"/>
    <w:rsid w:val="00C15135"/>
    <w:rsid w:val="00C159ED"/>
    <w:rsid w:val="00C15FFF"/>
    <w:rsid w:val="00C1662C"/>
    <w:rsid w:val="00C1706D"/>
    <w:rsid w:val="00C17099"/>
    <w:rsid w:val="00C1723C"/>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A83"/>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237"/>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5EA0"/>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89E"/>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34F"/>
    <w:rsid w:val="00C8781D"/>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7FF"/>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832"/>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95"/>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EB"/>
    <w:rsid w:val="00CE5E50"/>
    <w:rsid w:val="00CE697C"/>
    <w:rsid w:val="00CE698C"/>
    <w:rsid w:val="00CE69F3"/>
    <w:rsid w:val="00CE6AD5"/>
    <w:rsid w:val="00CE6E24"/>
    <w:rsid w:val="00CE76BD"/>
    <w:rsid w:val="00CE79BC"/>
    <w:rsid w:val="00CF0282"/>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177"/>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13C"/>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C2E"/>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953"/>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559"/>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87"/>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5ECA"/>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6B60"/>
    <w:rsid w:val="00DE7012"/>
    <w:rsid w:val="00DE7C23"/>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054"/>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1D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7A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876"/>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3B"/>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4AE9"/>
    <w:rsid w:val="00EB534C"/>
    <w:rsid w:val="00EB53A5"/>
    <w:rsid w:val="00EB55D2"/>
    <w:rsid w:val="00EB57E7"/>
    <w:rsid w:val="00EB593E"/>
    <w:rsid w:val="00EB5CC3"/>
    <w:rsid w:val="00EB6092"/>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074"/>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60"/>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6CD7"/>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6D5F"/>
    <w:rsid w:val="00F370CB"/>
    <w:rsid w:val="00F372F8"/>
    <w:rsid w:val="00F377A2"/>
    <w:rsid w:val="00F37922"/>
    <w:rsid w:val="00F37AE3"/>
    <w:rsid w:val="00F37AEF"/>
    <w:rsid w:val="00F4125D"/>
    <w:rsid w:val="00F41F89"/>
    <w:rsid w:val="00F42816"/>
    <w:rsid w:val="00F42910"/>
    <w:rsid w:val="00F42C2B"/>
    <w:rsid w:val="00F42FA1"/>
    <w:rsid w:val="00F439C5"/>
    <w:rsid w:val="00F44833"/>
    <w:rsid w:val="00F457C9"/>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890"/>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14"/>
    <w:rsid w:val="00F93A3D"/>
    <w:rsid w:val="00F93D13"/>
    <w:rsid w:val="00F93EE6"/>
    <w:rsid w:val="00F94003"/>
    <w:rsid w:val="00F94412"/>
    <w:rsid w:val="00F94737"/>
    <w:rsid w:val="00F9473D"/>
    <w:rsid w:val="00F9495D"/>
    <w:rsid w:val="00F95013"/>
    <w:rsid w:val="00F951BD"/>
    <w:rsid w:val="00F95569"/>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C1"/>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847"/>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DD7"/>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6BCE5"/>
  <w15:docId w15:val="{95267735-E6C2-4B65-8728-7920FD9C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D9"/>
    <w:rPr>
      <w:rFonts w:ascii="Times New Roman" w:eastAsiaTheme="minorEastAsia" w:hAnsi="Times New Roman"/>
      <w:szCs w:val="24"/>
      <w:lang w:eastAsia="en-US"/>
    </w:rPr>
  </w:style>
  <w:style w:type="paragraph" w:styleId="Heading1">
    <w:name w:val="heading 1"/>
    <w:aliases w:val="H1,h1,app heading 1,l1,Memo Heading 1,h11,h12,h13,h14,h15,h16"/>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eastAsia="SimSun"/>
      <w:szCs w:val="20"/>
      <w:lang w:val="en-GB"/>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eastAsia="SimSun"/>
      <w:szCs w:val="20"/>
      <w:lang w:val="en-GB"/>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eastAsia="SimSun"/>
      <w:szCs w:val="20"/>
      <w:lang w:val="en-GB"/>
    </w:rPr>
  </w:style>
  <w:style w:type="paragraph" w:customStyle="1" w:styleId="FP">
    <w:name w:val="FP"/>
    <w:basedOn w:val="Normal"/>
    <w:rsid w:val="00A63872"/>
    <w:pPr>
      <w:overflowPunct w:val="0"/>
      <w:autoSpaceDE w:val="0"/>
      <w:autoSpaceDN w:val="0"/>
      <w:adjustRightInd w:val="0"/>
      <w:textAlignment w:val="baseline"/>
    </w:pPr>
    <w:rPr>
      <w:rFonts w:eastAsia="SimSun"/>
      <w:szCs w:val="20"/>
      <w:lang w:val="en-GB"/>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after="180"/>
      <w:textAlignment w:val="baseline"/>
    </w:pPr>
    <w:rPr>
      <w:rFonts w:eastAsia="SimSun"/>
      <w:noProof/>
      <w:szCs w:val="20"/>
      <w:lang w:val="en-GB"/>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eastAsia="SimSun"/>
      <w:szCs w:val="20"/>
      <w:lang w:val="en-GB"/>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eastAsia="SimSun"/>
      <w:i/>
      <w:szCs w:val="20"/>
      <w:lang w:val="en-GB"/>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eastAsia="SimSun"/>
      <w:szCs w:val="20"/>
      <w:lang w:val="en-GB"/>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 w:val="24"/>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overflowPunct w:val="0"/>
      <w:autoSpaceDE w:val="0"/>
      <w:autoSpaceDN w:val="0"/>
      <w:adjustRightInd w:val="0"/>
      <w:spacing w:before="120" w:after="120"/>
      <w:textAlignment w:val="baseline"/>
    </w:pPr>
    <w:rPr>
      <w:rFonts w:eastAsia="SimSun"/>
      <w:b/>
      <w:bCs/>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 w:val="22"/>
      <w:szCs w:val="20"/>
      <w:lang w:val="en-GB"/>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overflowPunct w:val="0"/>
      <w:autoSpaceDE w:val="0"/>
      <w:autoSpaceDN w:val="0"/>
      <w:adjustRightInd w:val="0"/>
      <w:spacing w:after="180"/>
      <w:textAlignment w:val="baseline"/>
    </w:pPr>
    <w:rPr>
      <w:rFonts w:eastAsia="SimSun"/>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sz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pPr>
      <w:overflowPunct w:val="0"/>
      <w:autoSpaceDE w:val="0"/>
      <w:autoSpaceDN w:val="0"/>
      <w:adjustRightInd w:val="0"/>
      <w:spacing w:after="18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szCs w:val="20"/>
    </w:rPr>
  </w:style>
  <w:style w:type="paragraph" w:customStyle="1" w:styleId="tablecolhead">
    <w:name w:val="table col head"/>
    <w:basedOn w:val="Normal"/>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overflowPunct w:val="0"/>
      <w:autoSpaceDE w:val="0"/>
      <w:autoSpaceDN w:val="0"/>
      <w:adjustRightInd w:val="0"/>
      <w:spacing w:before="40" w:after="40"/>
    </w:pPr>
    <w:rPr>
      <w:rFonts w:eastAsia="Times New Roman"/>
      <w:b/>
      <w:bCs/>
      <w:szCs w:val="20"/>
      <w:lang w:val="en-GB"/>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autoSpaceDE w:val="0"/>
      <w:autoSpaceDN w:val="0"/>
      <w:adjustRightInd w:val="0"/>
      <w:spacing w:line="173" w:lineRule="atLeast"/>
    </w:pPr>
    <w:rPr>
      <w:rFonts w:ascii="Swift" w:eastAsia="SimSun" w:hAnsi="Swift"/>
      <w:sz w:val="24"/>
      <w:lang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pPr>
    <w:rPr>
      <w:rFonts w:ascii="Times" w:eastAsia="Batang" w:hAnsi="Times"/>
      <w:lang w:val="en-GB"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2B516F"/>
    <w:rPr>
      <w:rFonts w:ascii="Arial" w:hAnsi="Arial"/>
      <w:sz w:val="18"/>
      <w:lang w:val="en-GB" w:eastAsia="en-US"/>
    </w:rPr>
  </w:style>
  <w:style w:type="character" w:customStyle="1" w:styleId="TAHCar">
    <w:name w:val="TAH Car"/>
    <w:link w:val="TAH"/>
    <w:locked/>
    <w:rsid w:val="002B516F"/>
    <w:rPr>
      <w:rFonts w:ascii="Arial" w:hAnsi="Arial"/>
      <w:b/>
      <w:sz w:val="18"/>
      <w:lang w:val="en-GB" w:eastAsia="en-US"/>
    </w:rPr>
  </w:style>
  <w:style w:type="character" w:customStyle="1" w:styleId="B1Zchn">
    <w:name w:val="B1 Zchn"/>
    <w:rsid w:val="00A74593"/>
    <w:rPr>
      <w:lang w:eastAsia="en-US"/>
    </w:rPr>
  </w:style>
  <w:style w:type="paragraph" w:customStyle="1" w:styleId="References">
    <w:name w:val="References"/>
    <w:basedOn w:val="Normal"/>
    <w:rsid w:val="00EB213B"/>
    <w:pPr>
      <w:numPr>
        <w:ilvl w:val="2"/>
        <w:numId w:val="38"/>
      </w:numPr>
    </w:pPr>
    <w:rPr>
      <w:rFonts w:eastAsia="Times New Roman"/>
    </w:rPr>
  </w:style>
  <w:style w:type="paragraph" w:customStyle="1" w:styleId="LGTdoc1">
    <w:name w:val="LGTdoc_제목1"/>
    <w:basedOn w:val="Normal"/>
    <w:link w:val="LGTdoc1Char"/>
    <w:rsid w:val="00653479"/>
    <w:pPr>
      <w:adjustRightInd w:val="0"/>
      <w:snapToGrid w:val="0"/>
      <w:spacing w:beforeLines="50" w:after="100" w:afterAutospacing="1"/>
      <w:jc w:val="both"/>
    </w:pPr>
    <w:rPr>
      <w:rFonts w:eastAsia="Batang"/>
      <w:b/>
      <w:snapToGrid w:val="0"/>
      <w:sz w:val="28"/>
      <w:szCs w:val="20"/>
      <w:lang w:val="en-GB" w:eastAsia="ko-KR"/>
    </w:rPr>
  </w:style>
  <w:style w:type="character" w:customStyle="1" w:styleId="LGTdoc1Char">
    <w:name w:val="LGTdoc_제목1 Char"/>
    <w:basedOn w:val="DefaultParagraphFont"/>
    <w:link w:val="LGTdoc1"/>
    <w:rsid w:val="00653479"/>
    <w:rPr>
      <w:rFonts w:ascii="Times New Roman" w:eastAsia="Batang" w:hAnsi="Times New Roman"/>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997667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80238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3.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FCE009F-A514-478C-8C24-54E05F48D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8317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cp:lastModifiedBy>
  <cp:revision>8</cp:revision>
  <cp:lastPrinted>2011-11-09T07:49:00Z</cp:lastPrinted>
  <dcterms:created xsi:type="dcterms:W3CDTF">2019-05-03T11:31:00Z</dcterms:created>
  <dcterms:modified xsi:type="dcterms:W3CDTF">2019-08-16T20:57:00Z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9e3c28ea-5fde-4d3f-a62c-426893f824d3</vt:lpwstr>
  </property>
  <property fmtid="{D5CDD505-2E9C-101B-9397-08002B2CF9AE}" pid="10" name="CTP_BU">
    <vt:lpwstr>NEXT GEN &amp; STANDARDS GROUP</vt:lpwstr>
  </property>
  <property fmtid="{D5CDD505-2E9C-101B-9397-08002B2CF9AE}" pid="11" name="CTP_TimeStamp">
    <vt:lpwstr>2019-03-30 05:45:31Z</vt:lpwstr>
  </property>
  <property fmtid="{D5CDD505-2E9C-101B-9397-08002B2CF9AE}" pid="12" name="ContentTypeId">
    <vt:lpwstr>0x0101001A6C2134160B1A4083A3FDA85C8A909E</vt:lpwstr>
  </property>
  <property fmtid="{D5CDD505-2E9C-101B-9397-08002B2CF9AE}" pid="13" name="CTPClassification">
    <vt:lpwstr>CTP_IC</vt:lpwstr>
  </property>
</Properties>
</file>